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20537D">
      <w:pPr>
        <w:pStyle w:val="24"/>
        <w:jc w:val="center"/>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72"/>
          <w:szCs w:val="24"/>
          <w:highlight w:val="none"/>
          <w:lang w:val="en-US" w:eastAsia="zh-CN"/>
        </w:rPr>
        <w:t>福</w:t>
      </w:r>
      <w:r>
        <w:rPr>
          <w:rFonts w:asciiTheme="minorEastAsia" w:hAnsiTheme="minorEastAsia" w:cstheme="minorEastAsia"/>
          <w:b/>
          <w:color w:val="auto"/>
          <w:sz w:val="72"/>
          <w:szCs w:val="24"/>
          <w:highlight w:val="none"/>
        </w:rPr>
        <w:t>建省政府采购</w:t>
      </w:r>
    </w:p>
    <w:p w14:paraId="3BC45804">
      <w:pPr>
        <w:pStyle w:val="24"/>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72"/>
          <w:szCs w:val="24"/>
          <w:highlight w:val="none"/>
        </w:rPr>
        <w:t>货物和服务项目</w:t>
      </w:r>
    </w:p>
    <w:p w14:paraId="1AA8C1D3">
      <w:pPr>
        <w:pStyle w:val="24"/>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72"/>
          <w:szCs w:val="24"/>
          <w:highlight w:val="none"/>
        </w:rPr>
        <w:t>公开招标文件</w:t>
      </w:r>
    </w:p>
    <w:p w14:paraId="55E67D2F">
      <w:pPr>
        <w:pStyle w:val="24"/>
        <w:jc w:val="center"/>
        <w:rPr>
          <w:rFonts w:hint="default" w:asciiTheme="minorEastAsia" w:hAnsiTheme="minorEastAsia" w:cstheme="minorEastAsia"/>
          <w:b/>
          <w:color w:val="auto"/>
          <w:sz w:val="28"/>
          <w:highlight w:val="none"/>
        </w:rPr>
      </w:pPr>
    </w:p>
    <w:p w14:paraId="4CCA4CDD">
      <w:pPr>
        <w:pStyle w:val="24"/>
        <w:jc w:val="center"/>
        <w:rPr>
          <w:rFonts w:hint="default" w:asciiTheme="minorEastAsia" w:hAnsiTheme="minorEastAsia" w:cstheme="minorEastAsia"/>
          <w:b/>
          <w:color w:val="auto"/>
          <w:sz w:val="28"/>
          <w:highlight w:val="none"/>
        </w:rPr>
      </w:pPr>
    </w:p>
    <w:p w14:paraId="25881BC5">
      <w:pPr>
        <w:pStyle w:val="24"/>
        <w:jc w:val="center"/>
        <w:rPr>
          <w:rFonts w:hint="default" w:asciiTheme="minorEastAsia" w:hAnsiTheme="minorEastAsia" w:cstheme="minorEastAsia"/>
          <w:b/>
          <w:color w:val="auto"/>
          <w:sz w:val="28"/>
          <w:highlight w:val="none"/>
        </w:rPr>
      </w:pPr>
    </w:p>
    <w:p w14:paraId="7ECCCE38">
      <w:pPr>
        <w:pStyle w:val="24"/>
        <w:jc w:val="center"/>
        <w:rPr>
          <w:rFonts w:hint="default" w:asciiTheme="minorEastAsia" w:hAnsiTheme="minorEastAsia" w:cstheme="minorEastAsia"/>
          <w:b/>
          <w:color w:val="auto"/>
          <w:sz w:val="28"/>
          <w:highlight w:val="none"/>
        </w:rPr>
      </w:pPr>
    </w:p>
    <w:p w14:paraId="4F16CBE3">
      <w:pPr>
        <w:pStyle w:val="24"/>
        <w:jc w:val="both"/>
        <w:rPr>
          <w:rFonts w:hint="default" w:asciiTheme="minorEastAsia" w:hAnsiTheme="minorEastAsia" w:cstheme="minorEastAsia"/>
          <w:b/>
          <w:color w:val="auto"/>
          <w:sz w:val="28"/>
          <w:highlight w:val="none"/>
        </w:rPr>
      </w:pPr>
    </w:p>
    <w:p w14:paraId="16A5BEAE">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default" w:asciiTheme="minorEastAsia" w:hAnsiTheme="minorEastAsia" w:cstheme="minorEastAsia"/>
          <w:b/>
          <w:bCs/>
          <w:color w:val="auto"/>
          <w:sz w:val="32"/>
          <w:szCs w:val="32"/>
          <w:highlight w:val="none"/>
          <w:lang w:eastAsia="zh-CN"/>
        </w:rPr>
      </w:pPr>
      <w:r>
        <w:rPr>
          <w:rFonts w:hint="eastAsia" w:asciiTheme="minorEastAsia" w:hAnsiTheme="minorEastAsia" w:cstheme="minorEastAsia"/>
          <w:b/>
          <w:bCs/>
          <w:color w:val="auto"/>
          <w:sz w:val="32"/>
          <w:szCs w:val="32"/>
          <w:highlight w:val="none"/>
          <w:lang w:eastAsia="zh-CN"/>
        </w:rPr>
        <w:t>项目名称：宁德市跨境电商综试区项目</w:t>
      </w:r>
    </w:p>
    <w:p w14:paraId="16420739">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default" w:asciiTheme="minorEastAsia" w:hAnsiTheme="minorEastAsia" w:cstheme="minorEastAsia"/>
          <w:b/>
          <w:bCs/>
          <w:color w:val="auto"/>
          <w:sz w:val="32"/>
          <w:szCs w:val="32"/>
          <w:highlight w:val="none"/>
          <w:lang w:eastAsia="zh-CN"/>
        </w:rPr>
      </w:pPr>
      <w:r>
        <w:rPr>
          <w:rFonts w:hint="eastAsia" w:asciiTheme="minorEastAsia" w:hAnsiTheme="minorEastAsia" w:cstheme="minorEastAsia"/>
          <w:b/>
          <w:bCs/>
          <w:color w:val="auto"/>
          <w:sz w:val="32"/>
          <w:szCs w:val="32"/>
          <w:highlight w:val="none"/>
          <w:lang w:eastAsia="zh-CN"/>
        </w:rPr>
        <w:t>项目编号：FJSHYZB-2024-160</w:t>
      </w:r>
    </w:p>
    <w:p w14:paraId="77004BA0">
      <w:pPr>
        <w:ind w:firstLine="964" w:firstLineChars="300"/>
        <w:jc w:val="left"/>
        <w:rPr>
          <w:rFonts w:asciiTheme="minorEastAsia" w:hAnsiTheme="minorEastAsia" w:cstheme="minorEastAsia"/>
          <w:b/>
          <w:bCs/>
          <w:color w:val="auto"/>
          <w:sz w:val="32"/>
          <w:szCs w:val="40"/>
          <w:highlight w:val="none"/>
        </w:rPr>
      </w:pPr>
      <w:r>
        <w:rPr>
          <w:rFonts w:hint="eastAsia" w:asciiTheme="minorEastAsia" w:hAnsiTheme="minorEastAsia" w:cstheme="minorEastAsia"/>
          <w:b/>
          <w:bCs/>
          <w:color w:val="auto"/>
          <w:sz w:val="32"/>
          <w:szCs w:val="40"/>
          <w:highlight w:val="none"/>
        </w:rPr>
        <w:t xml:space="preserve">  </w:t>
      </w:r>
    </w:p>
    <w:p w14:paraId="3A926DA7">
      <w:pPr>
        <w:ind w:firstLine="964" w:firstLineChars="300"/>
        <w:jc w:val="left"/>
        <w:rPr>
          <w:rFonts w:asciiTheme="minorEastAsia" w:hAnsiTheme="minorEastAsia" w:cstheme="minorEastAsia"/>
          <w:b/>
          <w:bCs/>
          <w:color w:val="auto"/>
          <w:sz w:val="32"/>
          <w:szCs w:val="40"/>
          <w:highlight w:val="none"/>
        </w:rPr>
      </w:pPr>
    </w:p>
    <w:p w14:paraId="486A6745">
      <w:pPr>
        <w:rPr>
          <w:color w:val="auto"/>
          <w:highlight w:val="none"/>
        </w:rPr>
      </w:pPr>
    </w:p>
    <w:p w14:paraId="52F0B0B7">
      <w:pPr>
        <w:ind w:firstLine="1285" w:firstLineChars="400"/>
        <w:jc w:val="center"/>
        <w:rPr>
          <w:rFonts w:asciiTheme="minorEastAsia" w:hAnsiTheme="minorEastAsia" w:cstheme="minorEastAsia"/>
          <w:b/>
          <w:bCs/>
          <w:color w:val="auto"/>
          <w:sz w:val="32"/>
          <w:szCs w:val="40"/>
          <w:highlight w:val="none"/>
        </w:rPr>
      </w:pPr>
    </w:p>
    <w:p w14:paraId="12CFF589">
      <w:pPr>
        <w:pStyle w:val="16"/>
        <w:ind w:firstLine="560"/>
        <w:rPr>
          <w:color w:val="auto"/>
          <w:highlight w:val="none"/>
        </w:rPr>
      </w:pPr>
    </w:p>
    <w:p w14:paraId="53D542B7">
      <w:pPr>
        <w:spacing w:line="600" w:lineRule="auto"/>
        <w:jc w:val="center"/>
        <w:rPr>
          <w:rFonts w:hint="default" w:asciiTheme="minorEastAsia" w:hAnsiTheme="minorEastAsia" w:eastAsiaTheme="minorEastAsia" w:cstheme="minorEastAsia"/>
          <w:b/>
          <w:bCs/>
          <w:color w:val="auto"/>
          <w:sz w:val="32"/>
          <w:szCs w:val="32"/>
          <w:highlight w:val="none"/>
          <w:lang w:eastAsia="zh-CN"/>
        </w:rPr>
      </w:pPr>
      <w:r>
        <w:rPr>
          <w:rFonts w:hint="eastAsia" w:asciiTheme="minorEastAsia" w:hAnsiTheme="minorEastAsia" w:cstheme="minorEastAsia"/>
          <w:b/>
          <w:bCs/>
          <w:color w:val="auto"/>
          <w:sz w:val="32"/>
          <w:szCs w:val="32"/>
          <w:highlight w:val="none"/>
        </w:rPr>
        <w:t>采购人：</w:t>
      </w:r>
      <w:r>
        <w:rPr>
          <w:rFonts w:hint="eastAsia" w:asciiTheme="minorEastAsia" w:hAnsiTheme="minorEastAsia" w:cstheme="minorEastAsia"/>
          <w:b/>
          <w:bCs/>
          <w:color w:val="auto"/>
          <w:sz w:val="32"/>
          <w:szCs w:val="32"/>
          <w:highlight w:val="none"/>
          <w:lang w:eastAsia="zh-CN"/>
        </w:rPr>
        <w:t>宁德市宁港水陆联运有限公司</w:t>
      </w:r>
    </w:p>
    <w:p w14:paraId="11B06F9C">
      <w:pPr>
        <w:spacing w:line="600" w:lineRule="auto"/>
        <w:jc w:val="center"/>
        <w:rPr>
          <w:rFonts w:hint="eastAsia" w:asciiTheme="minorEastAsia" w:hAnsiTheme="minorEastAsia" w:eastAsiaTheme="minorEastAsia" w:cstheme="minorEastAsia"/>
          <w:b/>
          <w:bCs/>
          <w:color w:val="auto"/>
          <w:sz w:val="32"/>
          <w:szCs w:val="32"/>
          <w:highlight w:val="none"/>
          <w:lang w:eastAsia="zh-CN"/>
        </w:rPr>
      </w:pPr>
      <w:r>
        <w:rPr>
          <w:rFonts w:hint="eastAsia" w:asciiTheme="minorEastAsia" w:hAnsiTheme="minorEastAsia" w:cstheme="minorEastAsia"/>
          <w:b/>
          <w:bCs/>
          <w:color w:val="auto"/>
          <w:sz w:val="32"/>
          <w:szCs w:val="32"/>
          <w:highlight w:val="none"/>
        </w:rPr>
        <w:t>代理机构：</w:t>
      </w:r>
      <w:r>
        <w:rPr>
          <w:rFonts w:hint="eastAsia" w:asciiTheme="minorEastAsia" w:hAnsiTheme="minorEastAsia" w:cstheme="minorEastAsia"/>
          <w:b/>
          <w:bCs/>
          <w:color w:val="auto"/>
          <w:sz w:val="32"/>
          <w:szCs w:val="32"/>
          <w:highlight w:val="none"/>
          <w:lang w:eastAsia="zh-CN"/>
        </w:rPr>
        <w:t>福建省鸿远招标有限公司</w:t>
      </w:r>
    </w:p>
    <w:p w14:paraId="179EDA02">
      <w:pPr>
        <w:spacing w:line="600" w:lineRule="auto"/>
        <w:jc w:val="center"/>
        <w:rPr>
          <w:rFonts w:hint="default" w:asciiTheme="minorEastAsia" w:hAnsiTheme="minorEastAsia" w:eastAsiaTheme="minorEastAsia" w:cstheme="minorEastAsia"/>
          <w:color w:val="auto"/>
          <w:sz w:val="21"/>
          <w:szCs w:val="24"/>
          <w:highlight w:val="none"/>
          <w:lang w:val="en-US" w:eastAsia="zh-CN"/>
        </w:rPr>
        <w:sectPr>
          <w:pgSz w:w="11906" w:h="16838"/>
          <w:pgMar w:top="1440" w:right="1080" w:bottom="1440" w:left="1080" w:header="851" w:footer="992" w:gutter="0"/>
          <w:pgBorders>
            <w:top w:val="none" w:sz="0" w:space="0"/>
            <w:left w:val="none" w:sz="0" w:space="0"/>
            <w:bottom w:val="none" w:sz="0" w:space="0"/>
            <w:right w:val="none" w:sz="0" w:space="0"/>
          </w:pgBorders>
          <w:pgNumType w:start="1"/>
          <w:cols w:space="425" w:num="1"/>
          <w:docGrid w:type="lines" w:linePitch="312" w:charSpace="0"/>
        </w:sectPr>
      </w:pPr>
      <w:r>
        <w:rPr>
          <w:rFonts w:hint="eastAsia" w:asciiTheme="minorEastAsia" w:hAnsiTheme="minorEastAsia" w:cstheme="minorEastAsia"/>
          <w:b/>
          <w:bCs/>
          <w:color w:val="auto"/>
          <w:sz w:val="32"/>
          <w:szCs w:val="32"/>
          <w:highlight w:val="none"/>
        </w:rPr>
        <w:t>编制时间：202</w:t>
      </w:r>
      <w:r>
        <w:rPr>
          <w:rFonts w:hint="eastAsia" w:asciiTheme="minorEastAsia" w:hAnsiTheme="minorEastAsia" w:cstheme="minorEastAsia"/>
          <w:b/>
          <w:bCs/>
          <w:color w:val="auto"/>
          <w:sz w:val="32"/>
          <w:szCs w:val="32"/>
          <w:highlight w:val="none"/>
          <w:lang w:val="en-US" w:eastAsia="zh-CN"/>
        </w:rPr>
        <w:t>4</w:t>
      </w:r>
      <w:r>
        <w:rPr>
          <w:rFonts w:hint="eastAsia" w:asciiTheme="minorEastAsia" w:hAnsiTheme="minorEastAsia" w:cstheme="minorEastAsia"/>
          <w:b/>
          <w:bCs/>
          <w:color w:val="auto"/>
          <w:sz w:val="32"/>
          <w:szCs w:val="32"/>
          <w:highlight w:val="none"/>
        </w:rPr>
        <w:t>年</w:t>
      </w:r>
      <w:r>
        <w:rPr>
          <w:rFonts w:hint="eastAsia" w:asciiTheme="minorEastAsia" w:hAnsiTheme="minorEastAsia" w:cstheme="minorEastAsia"/>
          <w:b/>
          <w:bCs/>
          <w:color w:val="auto"/>
          <w:sz w:val="32"/>
          <w:szCs w:val="32"/>
          <w:highlight w:val="none"/>
          <w:lang w:val="en-US" w:eastAsia="zh-CN"/>
        </w:rPr>
        <w:t>10月</w:t>
      </w:r>
    </w:p>
    <w:p w14:paraId="569D243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36"/>
          <w:highlight w:val="none"/>
        </w:rPr>
        <w:t>第一章 投标邀请</w:t>
      </w:r>
    </w:p>
    <w:p w14:paraId="15074CEA">
      <w:pPr>
        <w:pStyle w:val="24"/>
        <w:spacing w:line="360" w:lineRule="auto"/>
        <w:ind w:firstLine="480"/>
        <w:jc w:val="both"/>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福建省鸿远招标有限公司</w:t>
      </w:r>
      <w:r>
        <w:rPr>
          <w:rFonts w:asciiTheme="minorEastAsia" w:hAnsiTheme="minorEastAsia" w:cstheme="minorEastAsia"/>
          <w:color w:val="auto"/>
          <w:sz w:val="24"/>
          <w:szCs w:val="24"/>
          <w:highlight w:val="none"/>
        </w:rPr>
        <w:t>采用公开招标方式组织</w:t>
      </w:r>
      <w:r>
        <w:rPr>
          <w:rFonts w:hint="eastAsia" w:asciiTheme="minorEastAsia" w:hAnsiTheme="minorEastAsia" w:cstheme="minorEastAsia"/>
          <w:color w:val="auto"/>
          <w:sz w:val="24"/>
          <w:szCs w:val="24"/>
          <w:highlight w:val="none"/>
          <w:lang w:eastAsia="zh-CN"/>
        </w:rPr>
        <w:t>宁德市跨境电商综试区项目</w:t>
      </w:r>
      <w:r>
        <w:rPr>
          <w:rFonts w:asciiTheme="minorEastAsia" w:hAnsiTheme="minorEastAsia" w:cstheme="minorEastAsia"/>
          <w:color w:val="auto"/>
          <w:sz w:val="24"/>
          <w:szCs w:val="24"/>
          <w:highlight w:val="none"/>
        </w:rPr>
        <w:t>（以下简称：“本项目”）的政府采购活动，现邀请</w:t>
      </w:r>
      <w:r>
        <w:rPr>
          <w:rFonts w:asciiTheme="minorEastAsia" w:hAnsiTheme="minorEastAsia" w:cstheme="minorEastAsia"/>
          <w:color w:val="auto"/>
          <w:sz w:val="24"/>
          <w:szCs w:val="24"/>
          <w:highlight w:val="none"/>
          <w:lang w:eastAsia="zh-CN"/>
        </w:rPr>
        <w:t>投标人</w:t>
      </w:r>
      <w:r>
        <w:rPr>
          <w:rFonts w:asciiTheme="minorEastAsia" w:hAnsiTheme="minorEastAsia" w:cstheme="minorEastAsia"/>
          <w:color w:val="auto"/>
          <w:sz w:val="24"/>
          <w:szCs w:val="24"/>
          <w:highlight w:val="none"/>
        </w:rPr>
        <w:t>参加投标。</w:t>
      </w:r>
    </w:p>
    <w:p w14:paraId="69DF1632">
      <w:pPr>
        <w:pStyle w:val="24"/>
        <w:spacing w:line="360" w:lineRule="auto"/>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项目编号：</w:t>
      </w:r>
      <w:r>
        <w:rPr>
          <w:rFonts w:hint="eastAsia" w:asciiTheme="minorEastAsia" w:hAnsiTheme="minorEastAsia" w:cstheme="minorEastAsia"/>
          <w:b/>
          <w:color w:val="auto"/>
          <w:sz w:val="24"/>
          <w:szCs w:val="24"/>
          <w:highlight w:val="none"/>
          <w:lang w:eastAsia="zh-CN"/>
        </w:rPr>
        <w:t>FJSHYZB-2024-160</w:t>
      </w:r>
    </w:p>
    <w:p w14:paraId="30C346C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2.</w:t>
      </w:r>
      <w:r>
        <w:rPr>
          <w:rFonts w:asciiTheme="minorEastAsia" w:hAnsiTheme="minorEastAsia" w:cstheme="minorEastAsia"/>
          <w:b/>
          <w:color w:val="auto"/>
          <w:sz w:val="24"/>
          <w:szCs w:val="24"/>
          <w:highlight w:val="none"/>
        </w:rPr>
        <w:t>预算金额、最高限价：详见《采购标的一览表》。</w:t>
      </w:r>
    </w:p>
    <w:p w14:paraId="2C82A480">
      <w:pPr>
        <w:pStyle w:val="24"/>
        <w:spacing w:line="360" w:lineRule="auto"/>
        <w:ind w:firstLine="48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3.</w:t>
      </w:r>
      <w:r>
        <w:rPr>
          <w:rFonts w:asciiTheme="minorEastAsia" w:hAnsiTheme="minorEastAsia" w:cstheme="minorEastAsia"/>
          <w:b/>
          <w:color w:val="auto"/>
          <w:sz w:val="24"/>
          <w:szCs w:val="24"/>
          <w:highlight w:val="none"/>
        </w:rPr>
        <w:t>招标内容及要求：详见《采购标的一览表》及招标文件第五章。</w:t>
      </w:r>
    </w:p>
    <w:p w14:paraId="50594003">
      <w:pPr>
        <w:pStyle w:val="24"/>
        <w:spacing w:line="360" w:lineRule="auto"/>
        <w:ind w:firstLine="48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4.</w:t>
      </w:r>
      <w:r>
        <w:rPr>
          <w:rFonts w:asciiTheme="minorEastAsia" w:hAnsiTheme="minorEastAsia" w:cstheme="minorEastAsia"/>
          <w:b/>
          <w:color w:val="auto"/>
          <w:sz w:val="24"/>
          <w:szCs w:val="24"/>
          <w:highlight w:val="none"/>
        </w:rPr>
        <w:t>需要落实的政府采购政策</w:t>
      </w:r>
    </w:p>
    <w:p w14:paraId="5164E996">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4.1</w:t>
      </w:r>
      <w:r>
        <w:rPr>
          <w:rFonts w:asciiTheme="minorEastAsia" w:hAnsiTheme="minorEastAsia" w:cstheme="minorEastAsia"/>
          <w:color w:val="auto"/>
          <w:sz w:val="24"/>
          <w:szCs w:val="24"/>
          <w:highlight w:val="none"/>
        </w:rPr>
        <w:t>进口产品：</w:t>
      </w:r>
      <w:r>
        <w:rPr>
          <w:rFonts w:hint="eastAsia" w:asciiTheme="minorEastAsia" w:hAnsiTheme="minorEastAsia" w:cstheme="minorEastAsia"/>
          <w:color w:val="auto"/>
          <w:sz w:val="24"/>
          <w:szCs w:val="24"/>
          <w:highlight w:val="none"/>
          <w:lang w:eastAsia="zh-CN"/>
        </w:rPr>
        <w:t>不</w:t>
      </w:r>
      <w:r>
        <w:rPr>
          <w:rFonts w:asciiTheme="minorEastAsia" w:hAnsiTheme="minorEastAsia" w:cstheme="minorEastAsia"/>
          <w:color w:val="auto"/>
          <w:sz w:val="24"/>
          <w:szCs w:val="24"/>
          <w:highlight w:val="none"/>
        </w:rPr>
        <w:t>适用于</w:t>
      </w:r>
      <w:r>
        <w:rPr>
          <w:rFonts w:hint="eastAsia" w:asciiTheme="minorEastAsia" w:hAnsiTheme="minorEastAsia" w:cstheme="minorEastAsia"/>
          <w:color w:val="auto"/>
          <w:sz w:val="24"/>
          <w:szCs w:val="24"/>
          <w:highlight w:val="none"/>
          <w:lang w:eastAsia="zh-CN"/>
        </w:rPr>
        <w:t>本项目</w:t>
      </w:r>
      <w:r>
        <w:rPr>
          <w:rFonts w:asciiTheme="minorEastAsia" w:hAnsiTheme="minorEastAsia" w:cstheme="minorEastAsia"/>
          <w:color w:val="auto"/>
          <w:sz w:val="24"/>
          <w:szCs w:val="24"/>
          <w:highlight w:val="none"/>
        </w:rPr>
        <w:t>。</w:t>
      </w:r>
    </w:p>
    <w:p w14:paraId="45648FFB">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4.2</w:t>
      </w:r>
      <w:r>
        <w:rPr>
          <w:rFonts w:asciiTheme="minorEastAsia" w:hAnsiTheme="minorEastAsia" w:cstheme="minorEastAsia"/>
          <w:color w:val="auto"/>
          <w:sz w:val="24"/>
          <w:szCs w:val="24"/>
          <w:highlight w:val="none"/>
        </w:rPr>
        <w:t>节能产品：适用于</w:t>
      </w:r>
      <w:r>
        <w:rPr>
          <w:rFonts w:hint="eastAsia" w:asciiTheme="minorEastAsia" w:hAnsiTheme="minorEastAsia" w:cstheme="minorEastAsia"/>
          <w:color w:val="auto"/>
          <w:sz w:val="24"/>
          <w:szCs w:val="24"/>
          <w:highlight w:val="none"/>
          <w:lang w:eastAsia="zh-CN"/>
        </w:rPr>
        <w:t>本项目，</w:t>
      </w:r>
      <w:r>
        <w:rPr>
          <w:rFonts w:asciiTheme="minorEastAsia" w:hAnsiTheme="minorEastAsia" w:cstheme="minorEastAsia"/>
          <w:color w:val="auto"/>
          <w:sz w:val="24"/>
          <w:szCs w:val="24"/>
          <w:highlight w:val="none"/>
        </w:rPr>
        <w:t>按照财库[2019]19号文所附品目清单执行。</w:t>
      </w:r>
    </w:p>
    <w:p w14:paraId="1EA2E13A">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4.3</w:t>
      </w:r>
      <w:r>
        <w:rPr>
          <w:rFonts w:asciiTheme="minorEastAsia" w:hAnsiTheme="minorEastAsia" w:cstheme="minorEastAsia"/>
          <w:color w:val="auto"/>
          <w:sz w:val="24"/>
          <w:szCs w:val="24"/>
          <w:highlight w:val="none"/>
        </w:rPr>
        <w:t>环境标志产品：适用于</w:t>
      </w:r>
      <w:r>
        <w:rPr>
          <w:rFonts w:hint="eastAsia" w:asciiTheme="minorEastAsia" w:hAnsiTheme="minorEastAsia" w:cstheme="minorEastAsia"/>
          <w:color w:val="auto"/>
          <w:sz w:val="24"/>
          <w:szCs w:val="24"/>
          <w:highlight w:val="none"/>
          <w:lang w:eastAsia="zh-CN"/>
        </w:rPr>
        <w:t>本项目，</w:t>
      </w:r>
      <w:r>
        <w:rPr>
          <w:rFonts w:asciiTheme="minorEastAsia" w:hAnsiTheme="minorEastAsia" w:cstheme="minorEastAsia"/>
          <w:color w:val="auto"/>
          <w:sz w:val="24"/>
          <w:szCs w:val="24"/>
          <w:highlight w:val="none"/>
        </w:rPr>
        <w:t>按照财库[2019]18号文所附品目清单执行。</w:t>
      </w:r>
    </w:p>
    <w:p w14:paraId="1A29CE12">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4.</w:t>
      </w:r>
      <w:r>
        <w:rPr>
          <w:rFonts w:hint="eastAsia" w:asciiTheme="minorEastAsia" w:hAnsiTheme="minorEastAsia" w:cstheme="minorEastAsia"/>
          <w:color w:val="auto"/>
          <w:sz w:val="24"/>
          <w:szCs w:val="24"/>
          <w:highlight w:val="none"/>
          <w:lang w:val="en-US" w:eastAsia="zh-CN"/>
        </w:rPr>
        <w:t>4</w:t>
      </w:r>
      <w:r>
        <w:rPr>
          <w:rFonts w:asciiTheme="minorEastAsia" w:hAnsiTheme="minorEastAsia" w:cstheme="minorEastAsia"/>
          <w:color w:val="auto"/>
          <w:sz w:val="24"/>
          <w:szCs w:val="24"/>
          <w:highlight w:val="none"/>
        </w:rPr>
        <w:t>信用记录：</w:t>
      </w:r>
      <w:r>
        <w:rPr>
          <w:rFonts w:hint="eastAsia" w:ascii="宋体" w:hAnsi="宋体" w:eastAsia="宋体" w:cs="宋体"/>
          <w:color w:val="auto"/>
          <w:sz w:val="24"/>
          <w:szCs w:val="24"/>
          <w:highlight w:val="none"/>
        </w:rPr>
        <w:t>（1）查询结果的审查：①信用记录查询渠道：信用中国（www.creditchina.gov.cn）、中国政府采购网（www.ccgp.gov.cn）。②由</w:t>
      </w:r>
      <w:r>
        <w:rPr>
          <w:rFonts w:hint="eastAsia" w:ascii="宋体" w:hAnsi="宋体" w:eastAsia="宋体" w:cs="宋体"/>
          <w:color w:val="auto"/>
          <w:sz w:val="24"/>
          <w:szCs w:val="24"/>
          <w:highlight w:val="none"/>
          <w:lang w:eastAsia="zh-CN"/>
        </w:rPr>
        <w:t>资格审查小组</w:t>
      </w:r>
      <w:r>
        <w:rPr>
          <w:rFonts w:hint="eastAsia" w:ascii="宋体" w:hAnsi="宋体" w:eastAsia="宋体" w:cs="宋体"/>
          <w:color w:val="auto"/>
          <w:sz w:val="24"/>
          <w:szCs w:val="24"/>
          <w:highlight w:val="none"/>
        </w:rPr>
        <w:t>通过上述网站查询并打印</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信用记录（以下简称：“</w:t>
      </w:r>
      <w:r>
        <w:rPr>
          <w:rFonts w:hint="eastAsia" w:ascii="宋体" w:hAnsi="宋体" w:eastAsia="宋体" w:cs="宋体"/>
          <w:color w:val="auto"/>
          <w:sz w:val="24"/>
          <w:szCs w:val="24"/>
          <w:highlight w:val="none"/>
          <w:lang w:eastAsia="zh-CN"/>
        </w:rPr>
        <w:t>资格审查小组</w:t>
      </w:r>
      <w:r>
        <w:rPr>
          <w:rFonts w:hint="eastAsia" w:ascii="宋体" w:hAnsi="宋体" w:eastAsia="宋体" w:cs="宋体"/>
          <w:color w:val="auto"/>
          <w:sz w:val="24"/>
          <w:szCs w:val="24"/>
          <w:highlight w:val="none"/>
        </w:rPr>
        <w:t>的查询结果”）。③查询结果存在</w:t>
      </w:r>
      <w:r>
        <w:rPr>
          <w:rFonts w:hint="eastAsia" w:ascii="宋体" w:hAnsi="宋体" w:eastAsia="宋体" w:cs="宋体"/>
          <w:color w:val="auto"/>
          <w:sz w:val="24"/>
          <w:szCs w:val="24"/>
          <w:highlight w:val="none"/>
          <w:lang w:eastAsia="zh-CN"/>
        </w:rPr>
        <w:t>投标人</w:t>
      </w:r>
      <w:r>
        <w:rPr>
          <w:rFonts w:hint="eastAsia" w:ascii="宋体" w:hAnsi="宋体" w:eastAsia="宋体" w:cs="宋体"/>
          <w:color w:val="auto"/>
          <w:sz w:val="24"/>
          <w:szCs w:val="24"/>
          <w:highlight w:val="none"/>
        </w:rPr>
        <w:t>应被拒绝参与政府采购活动相关信息的，其资格审查不合格。</w:t>
      </w:r>
    </w:p>
    <w:p w14:paraId="288A95AF">
      <w:pPr>
        <w:pStyle w:val="24"/>
        <w:spacing w:line="360" w:lineRule="auto"/>
        <w:ind w:firstLine="480" w:firstLineChars="200"/>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lang w:eastAsia="zh-CN"/>
        </w:rPr>
        <w:t>4.</w:t>
      </w:r>
      <w:r>
        <w:rPr>
          <w:rFonts w:hint="eastAsia" w:asciiTheme="minorEastAsia" w:hAnsiTheme="minorEastAsia" w:cstheme="minorEastAsia"/>
          <w:bCs/>
          <w:color w:val="auto"/>
          <w:sz w:val="24"/>
          <w:szCs w:val="24"/>
          <w:highlight w:val="none"/>
          <w:lang w:val="en-US" w:eastAsia="zh-CN"/>
        </w:rPr>
        <w:t>5</w:t>
      </w:r>
      <w:r>
        <w:rPr>
          <w:rFonts w:asciiTheme="minorEastAsia" w:hAnsiTheme="minorEastAsia" w:cstheme="minorEastAsia"/>
          <w:bCs/>
          <w:color w:val="auto"/>
          <w:sz w:val="24"/>
          <w:szCs w:val="24"/>
          <w:highlight w:val="none"/>
        </w:rPr>
        <w:t>其他落实政策：（1）小型、微型企业：适用于</w:t>
      </w:r>
      <w:r>
        <w:rPr>
          <w:rFonts w:hint="eastAsia" w:asciiTheme="minorEastAsia" w:hAnsiTheme="minorEastAsia" w:cstheme="minorEastAsia"/>
          <w:bCs/>
          <w:color w:val="auto"/>
          <w:sz w:val="24"/>
          <w:szCs w:val="24"/>
          <w:highlight w:val="none"/>
          <w:lang w:eastAsia="zh-CN"/>
        </w:rPr>
        <w:t>本项目</w:t>
      </w:r>
      <w:r>
        <w:rPr>
          <w:rFonts w:asciiTheme="minorEastAsia" w:hAnsiTheme="minorEastAsia" w:cstheme="minorEastAsia"/>
          <w:bCs/>
          <w:color w:val="auto"/>
          <w:sz w:val="24"/>
          <w:szCs w:val="24"/>
          <w:highlight w:val="none"/>
        </w:rPr>
        <w:t>，按照《政府采购促进中小企业发展管理办法》（财库[2020]46号）和《福建省财政厅关于进一步加大政府采购支持中小企业力度的通知》（闽财规〔2022〕13号）执行。（2）监狱企业，适用于</w:t>
      </w:r>
      <w:r>
        <w:rPr>
          <w:rFonts w:hint="eastAsia" w:asciiTheme="minorEastAsia" w:hAnsiTheme="minorEastAsia" w:cstheme="minorEastAsia"/>
          <w:bCs/>
          <w:color w:val="auto"/>
          <w:sz w:val="24"/>
          <w:szCs w:val="24"/>
          <w:highlight w:val="none"/>
          <w:lang w:eastAsia="zh-CN"/>
        </w:rPr>
        <w:t>本项目</w:t>
      </w:r>
      <w:r>
        <w:rPr>
          <w:rFonts w:asciiTheme="minorEastAsia" w:hAnsiTheme="minorEastAsia" w:cstheme="minorEastAsia"/>
          <w:bCs/>
          <w:color w:val="auto"/>
          <w:sz w:val="24"/>
          <w:szCs w:val="24"/>
          <w:highlight w:val="none"/>
        </w:rPr>
        <w:t>，按照《关于政府采购支持监狱企业发展有关问题的通知》（财库【2014】68号）执行。（3）促进残疾人就业 ，适用于</w:t>
      </w:r>
      <w:r>
        <w:rPr>
          <w:rFonts w:hint="eastAsia" w:asciiTheme="minorEastAsia" w:hAnsiTheme="minorEastAsia" w:cstheme="minorEastAsia"/>
          <w:bCs/>
          <w:color w:val="auto"/>
          <w:sz w:val="24"/>
          <w:szCs w:val="24"/>
          <w:highlight w:val="none"/>
          <w:lang w:eastAsia="zh-CN"/>
        </w:rPr>
        <w:t>本项目</w:t>
      </w:r>
      <w:r>
        <w:rPr>
          <w:rFonts w:asciiTheme="minorEastAsia" w:hAnsiTheme="minorEastAsia" w:cstheme="minorEastAsia"/>
          <w:bCs/>
          <w:color w:val="auto"/>
          <w:sz w:val="24"/>
          <w:szCs w:val="24"/>
          <w:highlight w:val="none"/>
        </w:rPr>
        <w:t>，按照《关于促进残疾人就业政府采购政策的通知》（财库〔2017〕141号）执行。</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lang w:val="en-US" w:eastAsia="zh-CN"/>
        </w:rPr>
        <w:t>4</w:t>
      </w:r>
      <w:r>
        <w:rPr>
          <w:rFonts w:hint="eastAsia" w:ascii="宋体" w:hAnsi="宋体" w:eastAsia="宋体" w:cs="宋体"/>
          <w:b w:val="0"/>
          <w:bCs/>
          <w:color w:val="auto"/>
          <w:sz w:val="24"/>
          <w:szCs w:val="24"/>
          <w:lang w:eastAsia="zh-CN"/>
        </w:rPr>
        <w:t>）</w:t>
      </w:r>
      <w:r>
        <w:rPr>
          <w:rFonts w:hint="eastAsia" w:ascii="宋体" w:hAnsi="宋体" w:eastAsia="宋体" w:cs="宋体"/>
          <w:b w:val="0"/>
          <w:bCs/>
          <w:color w:val="auto"/>
          <w:sz w:val="24"/>
          <w:szCs w:val="24"/>
        </w:rPr>
        <w:t>乡村振兴：</w:t>
      </w:r>
      <w:r>
        <w:rPr>
          <w:rFonts w:hint="eastAsia" w:ascii="宋体" w:hAnsi="宋体" w:cs="宋体"/>
          <w:b w:val="0"/>
          <w:bCs/>
          <w:color w:val="auto"/>
          <w:sz w:val="24"/>
          <w:szCs w:val="24"/>
          <w:lang w:eastAsia="zh-CN"/>
        </w:rPr>
        <w:t>按照</w:t>
      </w:r>
      <w:r>
        <w:rPr>
          <w:rFonts w:hint="eastAsia" w:ascii="宋体" w:hAnsi="宋体" w:eastAsia="宋体" w:cs="宋体"/>
          <w:b w:val="0"/>
          <w:bCs/>
          <w:color w:val="auto"/>
          <w:sz w:val="24"/>
          <w:szCs w:val="24"/>
        </w:rPr>
        <w:t>印发《关于深入开展政府采购脱贫地区农副产品工作推进乡村产业振兴的实施意见》的通知</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财库〔2021〕20 号</w:t>
      </w:r>
      <w:r>
        <w:rPr>
          <w:rFonts w:hint="eastAsia" w:ascii="宋体" w:hAnsi="宋体" w:cs="宋体"/>
          <w:b w:val="0"/>
          <w:bCs/>
          <w:color w:val="auto"/>
          <w:sz w:val="24"/>
          <w:szCs w:val="24"/>
          <w:lang w:eastAsia="zh-CN"/>
        </w:rPr>
        <w:t>）</w:t>
      </w:r>
      <w:r>
        <w:rPr>
          <w:rFonts w:hint="eastAsia" w:ascii="宋体" w:hAnsi="宋体" w:eastAsia="宋体" w:cs="宋体"/>
          <w:b w:val="0"/>
          <w:bCs/>
          <w:color w:val="auto"/>
          <w:sz w:val="24"/>
          <w:szCs w:val="24"/>
        </w:rPr>
        <w:t>规定执行。</w:t>
      </w:r>
      <w:r>
        <w:rPr>
          <w:rFonts w:asciiTheme="minorEastAsia" w:hAnsiTheme="minorEastAsia" w:cstheme="minorEastAsia"/>
          <w:bCs/>
          <w:color w:val="auto"/>
          <w:sz w:val="24"/>
          <w:szCs w:val="24"/>
          <w:highlight w:val="none"/>
        </w:rPr>
        <w:t>（</w:t>
      </w:r>
      <w:r>
        <w:rPr>
          <w:rFonts w:hint="eastAsia" w:asciiTheme="minorEastAsia" w:hAnsiTheme="minorEastAsia" w:cstheme="minorEastAsia"/>
          <w:bCs/>
          <w:color w:val="auto"/>
          <w:sz w:val="24"/>
          <w:szCs w:val="24"/>
          <w:highlight w:val="none"/>
          <w:lang w:val="en-US" w:eastAsia="zh-CN"/>
        </w:rPr>
        <w:t>5</w:t>
      </w:r>
      <w:r>
        <w:rPr>
          <w:rFonts w:asciiTheme="minorEastAsia" w:hAnsiTheme="minorEastAsia" w:cstheme="minorEastAsia"/>
          <w:bCs/>
          <w:color w:val="auto"/>
          <w:sz w:val="24"/>
          <w:szCs w:val="24"/>
          <w:highlight w:val="none"/>
        </w:rPr>
        <w:t>）货物包装：按照财政部办公厅、生态环境部办公厅、国家邮政局办公室关于印发《商品包装政府采购需求标准（试行）》、《快递包装政府采购需求标准（试行）》的通知、</w:t>
      </w:r>
      <w:r>
        <w:rPr>
          <w:rFonts w:hint="eastAsia" w:asciiTheme="minorEastAsia" w:hAnsiTheme="minorEastAsia" w:cstheme="minorEastAsia"/>
          <w:bCs/>
          <w:color w:val="auto"/>
          <w:sz w:val="24"/>
          <w:szCs w:val="24"/>
          <w:highlight w:val="none"/>
          <w:lang w:eastAsia="zh-CN"/>
        </w:rPr>
        <w:t>＜</w:t>
      </w:r>
      <w:r>
        <w:rPr>
          <w:rFonts w:asciiTheme="minorEastAsia" w:hAnsiTheme="minorEastAsia" w:cstheme="minorEastAsia"/>
          <w:bCs/>
          <w:color w:val="auto"/>
          <w:sz w:val="24"/>
          <w:szCs w:val="24"/>
          <w:highlight w:val="none"/>
        </w:rPr>
        <w:t>快递包装政府采购需求标准（试行）</w:t>
      </w:r>
      <w:r>
        <w:rPr>
          <w:rFonts w:hint="eastAsia" w:asciiTheme="minorEastAsia" w:hAnsiTheme="minorEastAsia" w:cstheme="minorEastAsia"/>
          <w:bCs/>
          <w:color w:val="auto"/>
          <w:sz w:val="24"/>
          <w:szCs w:val="24"/>
          <w:highlight w:val="none"/>
          <w:lang w:eastAsia="zh-CN"/>
        </w:rPr>
        <w:t>＞</w:t>
      </w:r>
      <w:r>
        <w:rPr>
          <w:rFonts w:asciiTheme="minorEastAsia" w:hAnsiTheme="minorEastAsia" w:cstheme="minorEastAsia"/>
          <w:bCs/>
          <w:color w:val="auto"/>
          <w:sz w:val="24"/>
          <w:szCs w:val="24"/>
          <w:highlight w:val="none"/>
        </w:rPr>
        <w:t>的通知》执行。（</w:t>
      </w:r>
      <w:r>
        <w:rPr>
          <w:rFonts w:hint="eastAsia" w:asciiTheme="minorEastAsia" w:hAnsiTheme="minorEastAsia" w:cstheme="minorEastAsia"/>
          <w:bCs/>
          <w:color w:val="auto"/>
          <w:sz w:val="24"/>
          <w:szCs w:val="24"/>
          <w:highlight w:val="none"/>
          <w:lang w:val="en-US" w:eastAsia="zh-CN"/>
        </w:rPr>
        <w:t>6</w:t>
      </w:r>
      <w:r>
        <w:rPr>
          <w:rFonts w:asciiTheme="minorEastAsia" w:hAnsiTheme="minorEastAsia" w:cstheme="minorEastAsia"/>
          <w:bCs/>
          <w:color w:val="auto"/>
          <w:sz w:val="24"/>
          <w:szCs w:val="24"/>
          <w:highlight w:val="none"/>
        </w:rPr>
        <w:t>）落实《财政部关于在政府采购活动中落实平等对待内外资企业有关政策的通知》财库〔2021〕35号文件。</w:t>
      </w:r>
    </w:p>
    <w:p w14:paraId="22593457">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4.</w:t>
      </w:r>
      <w:r>
        <w:rPr>
          <w:rFonts w:hint="eastAsia" w:asciiTheme="minorEastAsia" w:hAnsiTheme="minorEastAsia" w:cstheme="minorEastAsia"/>
          <w:color w:val="auto"/>
          <w:sz w:val="24"/>
          <w:szCs w:val="24"/>
          <w:highlight w:val="none"/>
          <w:lang w:val="en-US" w:eastAsia="zh-CN"/>
        </w:rPr>
        <w:t>6</w:t>
      </w:r>
      <w:r>
        <w:rPr>
          <w:rFonts w:asciiTheme="minorEastAsia" w:hAnsiTheme="minorEastAsia" w:cstheme="minorEastAsia"/>
          <w:color w:val="auto"/>
          <w:sz w:val="24"/>
          <w:szCs w:val="24"/>
          <w:highlight w:val="none"/>
        </w:rPr>
        <w:t>促进中小企业发展的相关政策：</w:t>
      </w:r>
    </w:p>
    <w:p w14:paraId="654CBA05">
      <w:pPr>
        <w:pStyle w:val="24"/>
        <w:spacing w:line="360" w:lineRule="auto"/>
        <w:ind w:firstLine="960" w:firstLineChars="400"/>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lang w:eastAsia="zh-CN"/>
        </w:rPr>
        <w:t>1</w:t>
      </w:r>
      <w:r>
        <w:rPr>
          <w:rFonts w:asciiTheme="minorEastAsia" w:hAnsiTheme="minorEastAsia" w:cstheme="minorEastAsia"/>
          <w:color w:val="auto"/>
          <w:sz w:val="24"/>
          <w:szCs w:val="24"/>
          <w:highlight w:val="none"/>
        </w:rPr>
        <w:t>：</w:t>
      </w:r>
    </w:p>
    <w:p w14:paraId="2B4B2049">
      <w:pPr>
        <w:pStyle w:val="24"/>
        <w:spacing w:line="480" w:lineRule="exact"/>
        <w:ind w:firstLine="960" w:firstLineChars="40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lang w:eastAsia="zh-CN"/>
        </w:rPr>
        <w:t>是否专门</w:t>
      </w:r>
      <w:r>
        <w:rPr>
          <w:rFonts w:asciiTheme="minorEastAsia" w:hAnsiTheme="minorEastAsia" w:cstheme="minorEastAsia"/>
          <w:color w:val="auto"/>
          <w:sz w:val="24"/>
          <w:szCs w:val="24"/>
          <w:highlight w:val="none"/>
        </w:rPr>
        <w:t>面向中小企业采购</w:t>
      </w:r>
      <w:r>
        <w:rPr>
          <w:rFonts w:asciiTheme="minorEastAsia" w:hAnsiTheme="minorEastAsia" w:cstheme="minorEastAsia"/>
          <w:color w:val="auto"/>
          <w:sz w:val="24"/>
          <w:szCs w:val="24"/>
          <w:highlight w:val="none"/>
          <w:lang w:eastAsia="zh-CN"/>
        </w:rPr>
        <w:t>：</w:t>
      </w:r>
      <w:r>
        <w:rPr>
          <w:rFonts w:asciiTheme="minorEastAsia" w:hAnsiTheme="minorEastAsia" w:cstheme="minorEastAsia"/>
          <w:color w:val="auto"/>
          <w:sz w:val="24"/>
          <w:szCs w:val="24"/>
          <w:highlight w:val="none"/>
          <w:lang w:eastAsia="zh-CN"/>
        </w:rPr>
        <w:sym w:font="Wingdings" w:char="00A8"/>
      </w:r>
      <w:r>
        <w:rPr>
          <w:rFonts w:asciiTheme="minorEastAsia" w:hAnsiTheme="minorEastAsia" w:cstheme="minorEastAsia"/>
          <w:color w:val="auto"/>
          <w:sz w:val="24"/>
          <w:szCs w:val="24"/>
          <w:highlight w:val="none"/>
          <w:lang w:eastAsia="zh-CN"/>
        </w:rPr>
        <w:t>专门面向中小企业采购</w:t>
      </w:r>
    </w:p>
    <w:p w14:paraId="6735165A">
      <w:pPr>
        <w:pStyle w:val="24"/>
        <w:spacing w:line="480" w:lineRule="exact"/>
        <w:ind w:firstLine="4080" w:firstLineChars="170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lang w:eastAsia="zh-CN"/>
        </w:rPr>
        <w:sym w:font="Wingdings" w:char="00FE"/>
      </w:r>
      <w:r>
        <w:rPr>
          <w:rFonts w:asciiTheme="minorEastAsia" w:hAnsiTheme="minorEastAsia" w:cstheme="minorEastAsia"/>
          <w:color w:val="auto"/>
          <w:sz w:val="24"/>
          <w:szCs w:val="24"/>
          <w:highlight w:val="none"/>
          <w:lang w:eastAsia="zh-CN"/>
        </w:rPr>
        <w:t>不专门面向中小企业采购</w:t>
      </w:r>
    </w:p>
    <w:p w14:paraId="54BDFD9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5.</w:t>
      </w:r>
      <w:r>
        <w:rPr>
          <w:rFonts w:asciiTheme="minorEastAsia" w:hAnsiTheme="minorEastAsia" w:cstheme="minorEastAsia"/>
          <w:b/>
          <w:color w:val="auto"/>
          <w:sz w:val="24"/>
          <w:szCs w:val="24"/>
          <w:highlight w:val="none"/>
        </w:rPr>
        <w:t>投标人的资格要求</w:t>
      </w:r>
    </w:p>
    <w:p w14:paraId="33805DC8">
      <w:pPr>
        <w:pStyle w:val="24"/>
        <w:spacing w:line="360" w:lineRule="auto"/>
        <w:ind w:firstLine="480"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5</w:t>
      </w:r>
      <w:r>
        <w:rPr>
          <w:rFonts w:asciiTheme="minorEastAsia" w:hAnsiTheme="minorEastAsia" w:cstheme="minorEastAsia"/>
          <w:color w:val="auto"/>
          <w:sz w:val="24"/>
          <w:szCs w:val="24"/>
          <w:highlight w:val="none"/>
        </w:rPr>
        <w:t>.1法定条件：符合政府采购法第二十二条第一款规定的条件。</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44"/>
        <w:gridCol w:w="1890"/>
        <w:gridCol w:w="6525"/>
      </w:tblGrid>
      <w:tr w14:paraId="16E7292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488DF247">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序号</w:t>
            </w:r>
          </w:p>
        </w:tc>
        <w:tc>
          <w:tcPr>
            <w:tcW w:w="1890" w:type="dxa"/>
          </w:tcPr>
          <w:p w14:paraId="76DA6D58">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资格要求</w:t>
            </w:r>
          </w:p>
        </w:tc>
        <w:tc>
          <w:tcPr>
            <w:tcW w:w="6525" w:type="dxa"/>
          </w:tcPr>
          <w:p w14:paraId="31D43E53">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具体描述</w:t>
            </w:r>
          </w:p>
        </w:tc>
      </w:tr>
      <w:tr w14:paraId="4D6696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350E2D2B">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1</w:t>
            </w:r>
          </w:p>
        </w:tc>
        <w:tc>
          <w:tcPr>
            <w:tcW w:w="1890" w:type="dxa"/>
          </w:tcPr>
          <w:p w14:paraId="49FAFE44">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单位授权书</w:t>
            </w:r>
          </w:p>
        </w:tc>
        <w:tc>
          <w:tcPr>
            <w:tcW w:w="6525" w:type="dxa"/>
          </w:tcPr>
          <w:p w14:paraId="38739E02">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①投标人（自然人除外）：若投标人代表为单位授权的委托代理人，应提供本授权书</w:t>
            </w:r>
            <w:r>
              <w:rPr>
                <w:rFonts w:hint="eastAsia" w:asciiTheme="minorEastAsia" w:hAnsiTheme="minorEastAsia" w:cstheme="minorEastAsia"/>
                <w:b/>
                <w:color w:val="auto"/>
                <w:sz w:val="24"/>
                <w:highlight w:val="none"/>
                <w:lang w:eastAsia="zh-CN"/>
              </w:rPr>
              <w:t>（</w:t>
            </w:r>
            <w:r>
              <w:rPr>
                <w:rFonts w:hint="eastAsia" w:asciiTheme="minorEastAsia" w:hAnsiTheme="minorEastAsia" w:cstheme="minorEastAsia"/>
                <w:b/>
                <w:color w:val="auto"/>
                <w:sz w:val="24"/>
                <w:highlight w:val="none"/>
                <w:lang w:val="en-US" w:eastAsia="zh-CN"/>
              </w:rPr>
              <w:t>单位负责人签字或盖章</w:t>
            </w:r>
            <w:r>
              <w:rPr>
                <w:rFonts w:hint="eastAsia" w:asciiTheme="minorEastAsia" w:hAnsiTheme="minorEastAsia" w:cstheme="minorEastAsia"/>
                <w:b/>
                <w:color w:val="auto"/>
                <w:sz w:val="24"/>
                <w:highlight w:val="none"/>
                <w:lang w:eastAsia="zh-CN"/>
              </w:rPr>
              <w:t>）</w:t>
            </w:r>
            <w:r>
              <w:rPr>
                <w:rFonts w:hint="eastAsia" w:asciiTheme="minorEastAsia" w:hAnsiTheme="minorEastAsia" w:cstheme="minorEastAsia"/>
                <w:b/>
                <w:color w:val="auto"/>
                <w:sz w:val="24"/>
                <w:highlight w:val="none"/>
              </w:rPr>
              <w:t>；若投标人代表为单位负责人，应在此项下提交其身份证正反面复印件，可不提供本授权书。 ②投标人为自然人的，可不填写本授权书。</w:t>
            </w:r>
          </w:p>
        </w:tc>
      </w:tr>
      <w:tr w14:paraId="512A99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7E634D1F">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2</w:t>
            </w:r>
          </w:p>
        </w:tc>
        <w:tc>
          <w:tcPr>
            <w:tcW w:w="1890" w:type="dxa"/>
          </w:tcPr>
          <w:p w14:paraId="3C2681EA">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营业执照等证明文件</w:t>
            </w:r>
          </w:p>
        </w:tc>
        <w:tc>
          <w:tcPr>
            <w:tcW w:w="6525" w:type="dxa"/>
          </w:tcPr>
          <w:p w14:paraId="5C69468C">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14:paraId="5BBA71A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136AD712">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3</w:t>
            </w:r>
          </w:p>
        </w:tc>
        <w:tc>
          <w:tcPr>
            <w:tcW w:w="1890" w:type="dxa"/>
          </w:tcPr>
          <w:p w14:paraId="3454F223">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提供财务状况报告(财务报告或资信证明）</w:t>
            </w:r>
          </w:p>
        </w:tc>
        <w:tc>
          <w:tcPr>
            <w:tcW w:w="6525" w:type="dxa"/>
          </w:tcPr>
          <w:p w14:paraId="2B808162">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①投标人提供的财务报告复印件（成立年限按照投标截止时间推算）应符合下列规定：a.成立年限满1年及以上的投标人，提供经审计的</w:t>
            </w:r>
            <w:r>
              <w:rPr>
                <w:rFonts w:hint="eastAsia" w:asciiTheme="minorEastAsia" w:hAnsiTheme="minorEastAsia" w:cstheme="minorEastAsia"/>
                <w:b/>
                <w:color w:val="auto"/>
                <w:sz w:val="24"/>
                <w:highlight w:val="none"/>
                <w:lang w:val="en-US" w:eastAsia="zh-CN"/>
              </w:rPr>
              <w:t>2023</w:t>
            </w:r>
            <w:r>
              <w:rPr>
                <w:rFonts w:hint="eastAsia" w:asciiTheme="minorEastAsia" w:hAnsiTheme="minorEastAsia" w:cstheme="minorEastAsia"/>
                <w:b/>
                <w:color w:val="auto"/>
                <w:sz w:val="24"/>
                <w:highlight w:val="none"/>
              </w:rPr>
              <w:t>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②投标人为自然人的，提供有效的自然人身份证件复印件。</w:t>
            </w:r>
          </w:p>
        </w:tc>
      </w:tr>
      <w:tr w14:paraId="1525165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0CD3E97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4</w:t>
            </w:r>
          </w:p>
        </w:tc>
        <w:tc>
          <w:tcPr>
            <w:tcW w:w="1890" w:type="dxa"/>
          </w:tcPr>
          <w:p w14:paraId="5CAAF38E">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依法缴纳税收证明材料</w:t>
            </w:r>
          </w:p>
        </w:tc>
        <w:tc>
          <w:tcPr>
            <w:tcW w:w="6525" w:type="dxa"/>
          </w:tcPr>
          <w:p w14:paraId="2B2FE515">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c.若为依法免税范围的投标人，提供依法免税证明材料的，视同满足本项资格条件要求；②投标人为自然人的，提供有效的自然人身份证件复印件。</w:t>
            </w:r>
          </w:p>
        </w:tc>
      </w:tr>
      <w:tr w14:paraId="4CEFC4C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74365817">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5</w:t>
            </w:r>
          </w:p>
        </w:tc>
        <w:tc>
          <w:tcPr>
            <w:tcW w:w="1890" w:type="dxa"/>
          </w:tcPr>
          <w:p w14:paraId="6DB58E05">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依法缴纳社会保障资金证明材料</w:t>
            </w:r>
          </w:p>
        </w:tc>
        <w:tc>
          <w:tcPr>
            <w:tcW w:w="6525" w:type="dxa"/>
          </w:tcPr>
          <w:p w14:paraId="43F2D9FE">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c.若为依法不需要缴纳或暂缓缴纳社会保障资金的投标人，提供依法不需要缴纳或暂缓缴纳社会保障资金证明材料的，视同满足本项资格条件要求；②投标人为自然人的，提供有效的自然人身份证件复印件。</w:t>
            </w:r>
          </w:p>
        </w:tc>
      </w:tr>
      <w:tr w14:paraId="0C144E4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072B7B2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6</w:t>
            </w:r>
          </w:p>
        </w:tc>
        <w:tc>
          <w:tcPr>
            <w:tcW w:w="1890" w:type="dxa"/>
          </w:tcPr>
          <w:p w14:paraId="7A1F9C52">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具备履行合同所必需设备和专业技术能力的声明函(若有)</w:t>
            </w:r>
          </w:p>
        </w:tc>
        <w:tc>
          <w:tcPr>
            <w:tcW w:w="6525" w:type="dxa"/>
          </w:tcPr>
          <w:p w14:paraId="01E12BAD">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14:paraId="6A3584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4CD5181E">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7</w:t>
            </w:r>
          </w:p>
        </w:tc>
        <w:tc>
          <w:tcPr>
            <w:tcW w:w="1890" w:type="dxa"/>
          </w:tcPr>
          <w:p w14:paraId="1BDF4B92">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参加采购活动前三年内在经营活动中没有重大违法记录的声明</w:t>
            </w:r>
          </w:p>
        </w:tc>
        <w:tc>
          <w:tcPr>
            <w:tcW w:w="6525" w:type="dxa"/>
          </w:tcPr>
          <w:p w14:paraId="3D501FB8">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14:paraId="7808CD3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61B63A5A">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8</w:t>
            </w:r>
          </w:p>
        </w:tc>
        <w:tc>
          <w:tcPr>
            <w:tcW w:w="1890" w:type="dxa"/>
          </w:tcPr>
          <w:p w14:paraId="299F7571">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信用记录查询结果</w:t>
            </w:r>
          </w:p>
        </w:tc>
        <w:tc>
          <w:tcPr>
            <w:tcW w:w="6525" w:type="dxa"/>
          </w:tcPr>
          <w:p w14:paraId="1A937ABA">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14:paraId="1EC7ACE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783D1328">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9</w:t>
            </w:r>
          </w:p>
        </w:tc>
        <w:tc>
          <w:tcPr>
            <w:tcW w:w="1890" w:type="dxa"/>
          </w:tcPr>
          <w:p w14:paraId="3E45FFA9">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中小企业声明函（以资格条件落实中小企业扶持政策时适用 ）</w:t>
            </w:r>
          </w:p>
        </w:tc>
        <w:tc>
          <w:tcPr>
            <w:tcW w:w="6525" w:type="dxa"/>
          </w:tcPr>
          <w:p w14:paraId="4A980DDF">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①投标人应认真对照工信部联企业[2011]300号《工业和信息化部、国家统计局、国家发展和改革委员会、财政部关于印发中小企业划型标准规定的通知》规定的划分标准，并按照国统字[2017]213号《关于印发</w:t>
            </w:r>
            <w:r>
              <w:rPr>
                <w:rFonts w:hint="eastAsia" w:asciiTheme="minorEastAsia" w:hAnsiTheme="minorEastAsia" w:cstheme="minorEastAsia"/>
                <w:b/>
                <w:color w:val="auto"/>
                <w:sz w:val="24"/>
                <w:highlight w:val="none"/>
                <w:lang w:eastAsia="zh-CN"/>
              </w:rPr>
              <w:t>＜</w:t>
            </w:r>
            <w:r>
              <w:rPr>
                <w:rFonts w:hint="eastAsia" w:asciiTheme="minorEastAsia" w:hAnsiTheme="minorEastAsia" w:cstheme="minorEastAsia"/>
                <w:b/>
                <w:color w:val="auto"/>
                <w:sz w:val="24"/>
                <w:highlight w:val="none"/>
              </w:rPr>
              <w:t>统计上大中小微型企业划分办法(2017)</w:t>
            </w:r>
            <w:r>
              <w:rPr>
                <w:rFonts w:hint="eastAsia" w:asciiTheme="minorEastAsia" w:hAnsiTheme="minorEastAsia" w:cstheme="minorEastAsia"/>
                <w:b/>
                <w:color w:val="auto"/>
                <w:sz w:val="24"/>
                <w:highlight w:val="none"/>
                <w:lang w:eastAsia="zh-CN"/>
              </w:rPr>
              <w:t>＞</w:t>
            </w:r>
            <w:r>
              <w:rPr>
                <w:rFonts w:hint="eastAsia" w:asciiTheme="minorEastAsia" w:hAnsiTheme="minorEastAsia" w:cstheme="minorEastAsia"/>
                <w:b/>
                <w:color w:val="auto"/>
                <w:sz w:val="24"/>
                <w:highlight w:val="none"/>
              </w:rPr>
              <w: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14:paraId="6EB305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44" w:type="dxa"/>
          </w:tcPr>
          <w:p w14:paraId="2248E94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10</w:t>
            </w:r>
          </w:p>
        </w:tc>
        <w:tc>
          <w:tcPr>
            <w:tcW w:w="1890" w:type="dxa"/>
          </w:tcPr>
          <w:p w14:paraId="35F86FA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联合体协议（若有）</w:t>
            </w:r>
          </w:p>
        </w:tc>
        <w:tc>
          <w:tcPr>
            <w:tcW w:w="6525" w:type="dxa"/>
          </w:tcPr>
          <w:p w14:paraId="6DD6B48B">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①招标文件接受联合体投标且投标人为联合体的，投标人应提供本协议；否则无须提供。 ②本协议由委托代理人签字或盖章的，应按照招标文件第七章载明的格式提供“单位授权书”。</w:t>
            </w:r>
          </w:p>
        </w:tc>
      </w:tr>
    </w:tbl>
    <w:p w14:paraId="54CCAD66">
      <w:pPr>
        <w:pStyle w:val="24"/>
        <w:spacing w:line="360" w:lineRule="auto"/>
        <w:ind w:firstLine="482" w:firstLineChars="200"/>
        <w:jc w:val="both"/>
        <w:rPr>
          <w:rFonts w:hint="default" w:asciiTheme="minorEastAsia" w:hAnsiTheme="minorEastAsia" w:eastAsiaTheme="minorEastAsia" w:cstheme="minorEastAsia"/>
          <w:b/>
          <w:bCs/>
          <w:color w:val="auto"/>
          <w:sz w:val="24"/>
          <w:szCs w:val="24"/>
          <w:highlight w:val="none"/>
          <w:lang w:val="en-US" w:eastAsia="zh-CN"/>
        </w:rPr>
      </w:pPr>
      <w:r>
        <w:rPr>
          <w:rFonts w:asciiTheme="minorEastAsia" w:hAnsiTheme="minorEastAsia" w:cstheme="minorEastAsia"/>
          <w:b/>
          <w:bCs/>
          <w:color w:val="auto"/>
          <w:sz w:val="24"/>
          <w:szCs w:val="24"/>
          <w:highlight w:val="none"/>
          <w:lang w:eastAsia="zh-CN"/>
        </w:rPr>
        <w:t>5</w:t>
      </w:r>
      <w:r>
        <w:rPr>
          <w:rFonts w:asciiTheme="minorEastAsia" w:hAnsiTheme="minorEastAsia" w:cstheme="minorEastAsia"/>
          <w:b/>
          <w:bCs/>
          <w:color w:val="auto"/>
          <w:sz w:val="24"/>
          <w:szCs w:val="24"/>
          <w:highlight w:val="none"/>
        </w:rPr>
        <w:t>.2特定条件：</w:t>
      </w:r>
    </w:p>
    <w:p w14:paraId="1AEF385D">
      <w:pPr>
        <w:pStyle w:val="24"/>
        <w:spacing w:line="360" w:lineRule="auto"/>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lang w:eastAsia="zh-CN"/>
        </w:rPr>
        <w:t>1</w:t>
      </w:r>
      <w:r>
        <w:rPr>
          <w:rFonts w:asciiTheme="minorEastAsia" w:hAnsiTheme="minorEastAsia" w:cstheme="minorEastAsia"/>
          <w:color w:val="auto"/>
          <w:sz w:val="24"/>
          <w:szCs w:val="24"/>
          <w:highlight w:val="none"/>
        </w:rPr>
        <w:t>：</w:t>
      </w:r>
    </w:p>
    <w:tbl>
      <w:tblPr>
        <w:tblStyle w:val="17"/>
        <w:tblW w:w="0" w:type="auto"/>
        <w:tblInd w:w="262"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72"/>
        <w:gridCol w:w="6880"/>
      </w:tblGrid>
      <w:tr w14:paraId="71177D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72" w:type="dxa"/>
          </w:tcPr>
          <w:p w14:paraId="3E0819D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资格要求</w:t>
            </w:r>
          </w:p>
        </w:tc>
        <w:tc>
          <w:tcPr>
            <w:tcW w:w="6880" w:type="dxa"/>
          </w:tcPr>
          <w:p w14:paraId="59B3DDB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具体描述</w:t>
            </w:r>
          </w:p>
        </w:tc>
      </w:tr>
      <w:tr w14:paraId="473847E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2572" w:type="dxa"/>
            <w:tcBorders>
              <w:right w:val="single" w:color="auto" w:sz="4" w:space="0"/>
            </w:tcBorders>
            <w:vAlign w:val="center"/>
          </w:tcPr>
          <w:p w14:paraId="4F478363">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cstheme="minorEastAsia"/>
                <w:b/>
                <w:bCs/>
                <w:color w:val="auto"/>
                <w:kern w:val="2"/>
                <w:sz w:val="24"/>
                <w:szCs w:val="24"/>
                <w:highlight w:val="none"/>
                <w:lang w:val="en-US" w:eastAsia="zh-CN" w:bidi="ar-SA"/>
              </w:rPr>
              <w:t>资格承诺制</w:t>
            </w:r>
          </w:p>
        </w:tc>
        <w:tc>
          <w:tcPr>
            <w:tcW w:w="6880" w:type="dxa"/>
            <w:tcBorders>
              <w:left w:val="single" w:color="auto" w:sz="4" w:space="0"/>
            </w:tcBorders>
            <w:vAlign w:val="top"/>
          </w:tcPr>
          <w:p w14:paraId="63E7D1C2">
            <w:pPr>
              <w:pStyle w:val="2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default" w:asciiTheme="minorEastAsia" w:hAnsiTheme="minorEastAsia" w:eastAsiaTheme="minorEastAsia" w:cstheme="minorEastAsia"/>
                <w:b/>
                <w:bCs/>
                <w:color w:val="auto"/>
                <w:kern w:val="2"/>
                <w:sz w:val="24"/>
                <w:szCs w:val="24"/>
                <w:highlight w:val="none"/>
                <w:lang w:val="en-US" w:eastAsia="zh-CN" w:bidi="ar-SA"/>
              </w:rPr>
            </w:pPr>
            <w:r>
              <w:rPr>
                <w:rFonts w:hint="eastAsia" w:asciiTheme="minorEastAsia" w:hAnsiTheme="minorEastAsia" w:cstheme="minorEastAsia"/>
                <w:b/>
                <w:bCs/>
                <w:color w:val="auto"/>
                <w:kern w:val="2"/>
                <w:sz w:val="24"/>
                <w:szCs w:val="24"/>
                <w:highlight w:val="none"/>
                <w:lang w:val="en-US" w:eastAsia="zh-CN" w:bidi="ar-SA"/>
              </w:rPr>
              <w:t>根据《福建省财政厅关于印发推行政府采购供应商资格承诺制指导意见的通知》（闽财购〔2024〕6 号）要求，2024年10月1日起，政府采购项目推行供应商资格证明材料承诺制。投标人在投标（响应）时，按照规定提供相关资格承诺函（格式详见投标文件）的，可不提供《中华人民共和国政府采购法实施条例》第十七条第一款规定的资格条件证明材料；若未提供相关资格承诺函的，则应在投标（响应）时，提供《中华人民共和国政府采购法实施条例》第十七条第一款规定的资格条件证明材料；否则，视为未按照招标文件规定提交投标人的资格及资信文件，按资格审查不通过处理。</w:t>
            </w:r>
          </w:p>
        </w:tc>
      </w:tr>
    </w:tbl>
    <w:p w14:paraId="5C6AC5EA">
      <w:pPr>
        <w:pStyle w:val="24"/>
        <w:spacing w:line="360" w:lineRule="auto"/>
        <w:ind w:firstLine="480" w:firstLineChars="200"/>
        <w:jc w:val="both"/>
        <w:rPr>
          <w:rFonts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5</w:t>
      </w:r>
      <w:r>
        <w:rPr>
          <w:rFonts w:asciiTheme="minorEastAsia" w:hAnsiTheme="minorEastAsia" w:cstheme="minorEastAsia"/>
          <w:color w:val="auto"/>
          <w:sz w:val="24"/>
          <w:szCs w:val="24"/>
          <w:highlight w:val="none"/>
        </w:rPr>
        <w:t>.3是否接受联合体投标：</w:t>
      </w:r>
    </w:p>
    <w:p w14:paraId="592E8AFE">
      <w:pPr>
        <w:pStyle w:val="24"/>
        <w:spacing w:line="360" w:lineRule="auto"/>
        <w:ind w:firstLine="480" w:firstLineChars="200"/>
        <w:jc w:val="both"/>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1：</w:t>
      </w:r>
      <w:r>
        <w:rPr>
          <w:rFonts w:asciiTheme="minorEastAsia" w:hAnsiTheme="minorEastAsia" w:cstheme="minorEastAsia"/>
          <w:color w:val="auto"/>
          <w:sz w:val="24"/>
          <w:szCs w:val="24"/>
          <w:highlight w:val="none"/>
          <w:lang w:eastAsia="zh-CN"/>
        </w:rPr>
        <w:sym w:font="Wingdings" w:char="00A8"/>
      </w:r>
      <w:r>
        <w:rPr>
          <w:rFonts w:asciiTheme="minorEastAsia" w:hAnsiTheme="minorEastAsia" w:cstheme="minorEastAsia"/>
          <w:color w:val="auto"/>
          <w:sz w:val="24"/>
          <w:szCs w:val="24"/>
          <w:highlight w:val="none"/>
          <w:lang w:eastAsia="zh-CN"/>
        </w:rPr>
        <w:t>接收联合体</w:t>
      </w:r>
    </w:p>
    <w:p w14:paraId="1DEF9C5F">
      <w:pPr>
        <w:pStyle w:val="24"/>
        <w:spacing w:line="480" w:lineRule="exact"/>
        <w:ind w:firstLine="1680" w:firstLineChars="7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sym w:font="Wingdings" w:char="00FE"/>
      </w:r>
      <w:r>
        <w:rPr>
          <w:rFonts w:asciiTheme="minorEastAsia" w:hAnsiTheme="minorEastAsia" w:cstheme="minorEastAsia"/>
          <w:color w:val="auto"/>
          <w:sz w:val="24"/>
          <w:szCs w:val="24"/>
          <w:highlight w:val="none"/>
        </w:rPr>
        <w:t>不接受</w:t>
      </w:r>
      <w:r>
        <w:rPr>
          <w:rFonts w:asciiTheme="minorEastAsia" w:hAnsiTheme="minorEastAsia" w:cstheme="minorEastAsia"/>
          <w:color w:val="auto"/>
          <w:sz w:val="24"/>
          <w:szCs w:val="24"/>
          <w:highlight w:val="none"/>
          <w:lang w:eastAsia="zh-CN"/>
        </w:rPr>
        <w:t>联合体</w:t>
      </w:r>
    </w:p>
    <w:p w14:paraId="08ACB56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6.</w:t>
      </w:r>
      <w:r>
        <w:rPr>
          <w:rFonts w:asciiTheme="minorEastAsia" w:hAnsiTheme="minorEastAsia" w:cstheme="minorEastAsia"/>
          <w:b/>
          <w:color w:val="auto"/>
          <w:sz w:val="24"/>
          <w:szCs w:val="24"/>
          <w:highlight w:val="none"/>
        </w:rPr>
        <w:t>招标文件的获取</w:t>
      </w:r>
    </w:p>
    <w:p w14:paraId="6E64EECB">
      <w:pPr>
        <w:pStyle w:val="24"/>
        <w:spacing w:line="360" w:lineRule="auto"/>
        <w:ind w:firstLine="482"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b/>
          <w:bCs/>
          <w:color w:val="auto"/>
          <w:sz w:val="24"/>
          <w:szCs w:val="24"/>
          <w:highlight w:val="none"/>
          <w:lang w:eastAsia="zh-CN"/>
        </w:rPr>
        <w:t>6</w:t>
      </w:r>
      <w:r>
        <w:rPr>
          <w:rFonts w:asciiTheme="minorEastAsia" w:hAnsiTheme="minorEastAsia" w:cstheme="minorEastAsia"/>
          <w:b/>
          <w:bCs/>
          <w:color w:val="auto"/>
          <w:sz w:val="24"/>
          <w:szCs w:val="24"/>
          <w:highlight w:val="none"/>
        </w:rPr>
        <w:t>.1招标文件获取期限：202</w:t>
      </w:r>
      <w:r>
        <w:rPr>
          <w:rFonts w:hint="eastAsia" w:asciiTheme="minorEastAsia" w:hAnsiTheme="minorEastAsia" w:cstheme="minorEastAsia"/>
          <w:b/>
          <w:bCs/>
          <w:color w:val="auto"/>
          <w:sz w:val="24"/>
          <w:szCs w:val="24"/>
          <w:highlight w:val="none"/>
          <w:lang w:val="en-US" w:eastAsia="zh-CN"/>
        </w:rPr>
        <w:t>4</w:t>
      </w:r>
      <w:r>
        <w:rPr>
          <w:rFonts w:asciiTheme="minorEastAsia" w:hAnsiTheme="minorEastAsia" w:cstheme="minorEastAsia"/>
          <w:b/>
          <w:bCs/>
          <w:color w:val="auto"/>
          <w:sz w:val="24"/>
          <w:szCs w:val="24"/>
          <w:highlight w:val="none"/>
        </w:rPr>
        <w:t>年</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月</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日起至202</w:t>
      </w:r>
      <w:r>
        <w:rPr>
          <w:rFonts w:hint="eastAsia" w:asciiTheme="minorEastAsia" w:hAnsiTheme="minorEastAsia" w:cstheme="minorEastAsia"/>
          <w:b/>
          <w:bCs/>
          <w:color w:val="auto"/>
          <w:sz w:val="24"/>
          <w:szCs w:val="24"/>
          <w:highlight w:val="none"/>
          <w:lang w:val="en-US" w:eastAsia="zh-CN"/>
        </w:rPr>
        <w:t>4</w:t>
      </w:r>
      <w:r>
        <w:rPr>
          <w:rFonts w:asciiTheme="minorEastAsia" w:hAnsiTheme="minorEastAsia" w:cstheme="minorEastAsia"/>
          <w:b/>
          <w:bCs/>
          <w:color w:val="auto"/>
          <w:sz w:val="24"/>
          <w:szCs w:val="24"/>
          <w:highlight w:val="none"/>
        </w:rPr>
        <w:t>年</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月</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日止，北京时间上午8：30至11：30，下午</w:t>
      </w:r>
      <w:r>
        <w:rPr>
          <w:rFonts w:asciiTheme="minorEastAsia" w:hAnsiTheme="minorEastAsia" w:cstheme="minorEastAsia"/>
          <w:b/>
          <w:bCs/>
          <w:color w:val="auto"/>
          <w:sz w:val="24"/>
          <w:szCs w:val="24"/>
          <w:highlight w:val="none"/>
          <w:lang w:eastAsia="zh-CN"/>
        </w:rPr>
        <w:t>1</w:t>
      </w:r>
      <w:r>
        <w:rPr>
          <w:rFonts w:hint="eastAsia" w:asciiTheme="minorEastAsia" w:hAnsiTheme="minorEastAsia" w:cstheme="minorEastAsia"/>
          <w:b/>
          <w:bCs/>
          <w:color w:val="auto"/>
          <w:sz w:val="24"/>
          <w:szCs w:val="24"/>
          <w:highlight w:val="none"/>
          <w:lang w:val="en-US" w:eastAsia="zh-CN"/>
        </w:rPr>
        <w:t>5</w:t>
      </w:r>
      <w:r>
        <w:rPr>
          <w:rFonts w:asciiTheme="minorEastAsia" w:hAnsiTheme="minorEastAsia" w:cstheme="minorEastAsia"/>
          <w:b/>
          <w:bCs/>
          <w:color w:val="auto"/>
          <w:sz w:val="24"/>
          <w:szCs w:val="24"/>
          <w:highlight w:val="none"/>
        </w:rPr>
        <w:t>：</w:t>
      </w:r>
      <w:r>
        <w:rPr>
          <w:rFonts w:hint="eastAsia" w:asciiTheme="minorEastAsia" w:hAnsiTheme="minorEastAsia" w:cstheme="minorEastAsia"/>
          <w:b/>
          <w:bCs/>
          <w:color w:val="auto"/>
          <w:sz w:val="24"/>
          <w:szCs w:val="24"/>
          <w:highlight w:val="none"/>
          <w:lang w:val="en-US" w:eastAsia="zh-CN"/>
        </w:rPr>
        <w:t>0</w:t>
      </w:r>
      <w:r>
        <w:rPr>
          <w:rFonts w:asciiTheme="minorEastAsia" w:hAnsiTheme="minorEastAsia" w:cstheme="minorEastAsia"/>
          <w:b/>
          <w:bCs/>
          <w:color w:val="auto"/>
          <w:sz w:val="24"/>
          <w:szCs w:val="24"/>
          <w:highlight w:val="none"/>
        </w:rPr>
        <w:t>0至17：</w:t>
      </w:r>
      <w:r>
        <w:rPr>
          <w:rFonts w:hint="eastAsia" w:asciiTheme="minorEastAsia" w:hAnsiTheme="minorEastAsia" w:cstheme="minorEastAsia"/>
          <w:b/>
          <w:bCs/>
          <w:color w:val="auto"/>
          <w:sz w:val="24"/>
          <w:szCs w:val="24"/>
          <w:highlight w:val="none"/>
          <w:lang w:val="en-US" w:eastAsia="zh-CN"/>
        </w:rPr>
        <w:t>3</w:t>
      </w:r>
      <w:r>
        <w:rPr>
          <w:rFonts w:asciiTheme="minorEastAsia" w:hAnsiTheme="minorEastAsia" w:cstheme="minorEastAsia"/>
          <w:b/>
          <w:bCs/>
          <w:color w:val="auto"/>
          <w:sz w:val="24"/>
          <w:szCs w:val="24"/>
          <w:highlight w:val="none"/>
        </w:rPr>
        <w:t>0时（</w:t>
      </w:r>
      <w:r>
        <w:rPr>
          <w:rFonts w:asciiTheme="minorEastAsia" w:hAnsiTheme="minorEastAsia" w:cstheme="minorEastAsia"/>
          <w:b/>
          <w:bCs/>
          <w:color w:val="auto"/>
          <w:sz w:val="24"/>
          <w:szCs w:val="24"/>
          <w:highlight w:val="none"/>
          <w:lang w:eastAsia="zh-CN"/>
        </w:rPr>
        <w:t>周末及</w:t>
      </w:r>
      <w:r>
        <w:rPr>
          <w:rFonts w:asciiTheme="minorEastAsia" w:hAnsiTheme="minorEastAsia" w:cstheme="minorEastAsia"/>
          <w:b/>
          <w:bCs/>
          <w:color w:val="auto"/>
          <w:sz w:val="24"/>
          <w:szCs w:val="24"/>
          <w:highlight w:val="none"/>
        </w:rPr>
        <w:t>节假日除外）</w:t>
      </w:r>
      <w:r>
        <w:rPr>
          <w:rFonts w:asciiTheme="minorEastAsia" w:hAnsiTheme="minorEastAsia" w:cstheme="minorEastAsia"/>
          <w:color w:val="auto"/>
          <w:sz w:val="24"/>
          <w:szCs w:val="24"/>
          <w:highlight w:val="none"/>
        </w:rPr>
        <w:t>。</w:t>
      </w:r>
    </w:p>
    <w:p w14:paraId="3AED9F84">
      <w:pPr>
        <w:pStyle w:val="24"/>
        <w:spacing w:line="360" w:lineRule="auto"/>
        <w:ind w:firstLine="480"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6</w:t>
      </w:r>
      <w:r>
        <w:rPr>
          <w:rFonts w:asciiTheme="minorEastAsia" w:hAnsiTheme="minorEastAsia" w:cstheme="minorEastAsia"/>
          <w:color w:val="auto"/>
          <w:sz w:val="24"/>
          <w:szCs w:val="24"/>
          <w:highlight w:val="none"/>
        </w:rPr>
        <w:t>.2在招标文件获取期限内，</w:t>
      </w:r>
      <w:r>
        <w:rPr>
          <w:rFonts w:asciiTheme="minorEastAsia" w:hAnsiTheme="minorEastAsia" w:cstheme="minorEastAsia"/>
          <w:color w:val="auto"/>
          <w:sz w:val="24"/>
          <w:szCs w:val="24"/>
          <w:highlight w:val="none"/>
          <w:lang w:eastAsia="zh-CN"/>
        </w:rPr>
        <w:t>投标人在</w:t>
      </w:r>
      <w:r>
        <w:rPr>
          <w:rFonts w:hint="eastAsia" w:asciiTheme="minorEastAsia" w:hAnsiTheme="minorEastAsia" w:cstheme="minorEastAsia"/>
          <w:color w:val="auto"/>
          <w:sz w:val="24"/>
          <w:szCs w:val="24"/>
          <w:highlight w:val="none"/>
          <w:lang w:eastAsia="zh-CN"/>
        </w:rPr>
        <w:t>福建省国资采购平台、宁德市有信产权交易服务有限公司网站</w:t>
      </w:r>
      <w:r>
        <w:rPr>
          <w:rFonts w:hint="eastAsia" w:asciiTheme="minorEastAsia" w:hAnsiTheme="minorEastAsia" w:cstheme="minorEastAsia"/>
          <w:color w:val="auto"/>
          <w:sz w:val="24"/>
          <w:szCs w:val="24"/>
          <w:highlight w:val="none"/>
          <w:u w:val="none"/>
          <w:lang w:val="en-US" w:eastAsia="zh-CN"/>
        </w:rPr>
        <w:t>及</w:t>
      </w:r>
      <w:r>
        <w:rPr>
          <w:rFonts w:hint="eastAsia" w:asciiTheme="minorEastAsia" w:hAnsiTheme="minorEastAsia" w:cstheme="minorEastAsia"/>
          <w:color w:val="auto"/>
          <w:sz w:val="24"/>
          <w:szCs w:val="24"/>
          <w:highlight w:val="none"/>
          <w:u w:val="none"/>
          <w:lang w:eastAsia="zh-CN"/>
        </w:rPr>
        <w:t>福建省鸿远招标有限公司</w:t>
      </w:r>
      <w:r>
        <w:rPr>
          <w:rFonts w:asciiTheme="minorEastAsia" w:hAnsiTheme="minorEastAsia" w:cstheme="minorEastAsia"/>
          <w:color w:val="auto"/>
          <w:sz w:val="24"/>
          <w:szCs w:val="24"/>
          <w:highlight w:val="none"/>
          <w:u w:val="none"/>
          <w:lang w:eastAsia="zh-CN"/>
        </w:rPr>
        <w:t>官网</w:t>
      </w:r>
      <w:r>
        <w:rPr>
          <w:rFonts w:asciiTheme="minorEastAsia" w:hAnsiTheme="minorEastAsia" w:cstheme="minorEastAsia"/>
          <w:color w:val="auto"/>
          <w:sz w:val="24"/>
          <w:szCs w:val="24"/>
          <w:highlight w:val="none"/>
        </w:rPr>
        <w:t>上获取</w:t>
      </w:r>
      <w:r>
        <w:rPr>
          <w:rFonts w:asciiTheme="minorEastAsia" w:hAnsiTheme="minorEastAsia" w:cstheme="minorEastAsia"/>
          <w:color w:val="auto"/>
          <w:sz w:val="24"/>
          <w:szCs w:val="24"/>
          <w:highlight w:val="none"/>
          <w:lang w:eastAsia="zh-CN"/>
        </w:rPr>
        <w:t>项目信息</w:t>
      </w:r>
      <w:r>
        <w:rPr>
          <w:rFonts w:asciiTheme="minorEastAsia" w:hAnsiTheme="minorEastAsia" w:cstheme="minorEastAsia"/>
          <w:color w:val="auto"/>
          <w:sz w:val="24"/>
          <w:szCs w:val="24"/>
          <w:highlight w:val="none"/>
        </w:rPr>
        <w:t>，</w:t>
      </w:r>
      <w:r>
        <w:rPr>
          <w:rFonts w:asciiTheme="minorEastAsia" w:hAnsiTheme="minorEastAsia" w:cstheme="minorEastAsia"/>
          <w:color w:val="auto"/>
          <w:sz w:val="24"/>
          <w:szCs w:val="24"/>
          <w:highlight w:val="none"/>
          <w:lang w:eastAsia="zh-CN"/>
        </w:rPr>
        <w:t>通过网上报名方式获取</w:t>
      </w:r>
      <w:r>
        <w:rPr>
          <w:rFonts w:hint="eastAsia" w:asciiTheme="minorEastAsia" w:hAnsiTheme="minorEastAsia" w:cstheme="minorEastAsia"/>
          <w:color w:val="auto"/>
          <w:sz w:val="24"/>
          <w:szCs w:val="24"/>
          <w:highlight w:val="none"/>
          <w:lang w:eastAsia="zh-CN"/>
        </w:rPr>
        <w:t>招标</w:t>
      </w:r>
      <w:r>
        <w:rPr>
          <w:rFonts w:asciiTheme="minorEastAsia" w:hAnsiTheme="minorEastAsia" w:cstheme="minorEastAsia"/>
          <w:color w:val="auto"/>
          <w:sz w:val="24"/>
          <w:szCs w:val="24"/>
          <w:highlight w:val="none"/>
          <w:lang w:eastAsia="zh-CN"/>
        </w:rPr>
        <w:t>文件，</w:t>
      </w:r>
      <w:r>
        <w:rPr>
          <w:rFonts w:asciiTheme="minorEastAsia" w:hAnsiTheme="minorEastAsia" w:cstheme="minorEastAsia"/>
          <w:color w:val="auto"/>
          <w:sz w:val="24"/>
          <w:szCs w:val="24"/>
          <w:highlight w:val="none"/>
        </w:rPr>
        <w:t>否则投标将被拒绝。</w:t>
      </w:r>
    </w:p>
    <w:p w14:paraId="12EB23BC">
      <w:pPr>
        <w:pStyle w:val="24"/>
        <w:spacing w:line="360" w:lineRule="auto"/>
        <w:ind w:firstLine="480" w:firstLineChars="200"/>
        <w:jc w:val="both"/>
        <w:rPr>
          <w:rFonts w:hint="default" w:asciiTheme="minorEastAsia" w:hAnsiTheme="minorEastAsia" w:cstheme="minorEastAsia"/>
          <w:bCs/>
          <w:color w:val="auto"/>
          <w:sz w:val="24"/>
          <w:szCs w:val="24"/>
          <w:highlight w:val="none"/>
        </w:rPr>
      </w:pPr>
      <w:r>
        <w:rPr>
          <w:rFonts w:asciiTheme="minorEastAsia" w:hAnsiTheme="minorEastAsia" w:cstheme="minorEastAsia"/>
          <w:color w:val="auto"/>
          <w:sz w:val="24"/>
          <w:szCs w:val="24"/>
          <w:highlight w:val="none"/>
          <w:lang w:eastAsia="zh-CN"/>
        </w:rPr>
        <w:t>6</w:t>
      </w:r>
      <w:r>
        <w:rPr>
          <w:rFonts w:asciiTheme="minorEastAsia" w:hAnsiTheme="minorEastAsia" w:cstheme="minorEastAsia"/>
          <w:color w:val="auto"/>
          <w:sz w:val="24"/>
          <w:szCs w:val="24"/>
          <w:highlight w:val="none"/>
        </w:rPr>
        <w:t>.3</w:t>
      </w:r>
      <w:r>
        <w:rPr>
          <w:rFonts w:hint="eastAsia" w:asciiTheme="minorEastAsia" w:hAnsiTheme="minorEastAsia" w:cstheme="minorEastAsia"/>
          <w:color w:val="auto"/>
          <w:sz w:val="24"/>
          <w:szCs w:val="24"/>
          <w:highlight w:val="none"/>
          <w:lang w:val="en-US" w:eastAsia="zh-CN"/>
        </w:rPr>
        <w:t>报名</w:t>
      </w:r>
      <w:r>
        <w:rPr>
          <w:rFonts w:asciiTheme="minorEastAsia" w:hAnsiTheme="minorEastAsia" w:cstheme="minorEastAsia"/>
          <w:color w:val="auto"/>
          <w:sz w:val="24"/>
          <w:szCs w:val="24"/>
          <w:highlight w:val="none"/>
        </w:rPr>
        <w:t>方式：</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1</w:t>
      </w:r>
      <w:r>
        <w:rPr>
          <w:rFonts w:hint="eastAsia" w:asciiTheme="minorEastAsia" w:hAnsiTheme="minorEastAsia" w:cstheme="minorEastAsia"/>
          <w:color w:val="auto"/>
          <w:sz w:val="24"/>
          <w:szCs w:val="24"/>
          <w:highlight w:val="none"/>
          <w:lang w:eastAsia="zh-CN"/>
        </w:rPr>
        <w:t>）本项目不支持现场报名；（</w:t>
      </w:r>
      <w:r>
        <w:rPr>
          <w:rFonts w:hint="eastAsia" w:asciiTheme="minorEastAsia" w:hAnsiTheme="minorEastAsia" w:cstheme="minorEastAsia"/>
          <w:color w:val="auto"/>
          <w:sz w:val="24"/>
          <w:szCs w:val="24"/>
          <w:highlight w:val="none"/>
          <w:lang w:val="en-US" w:eastAsia="zh-CN"/>
        </w:rPr>
        <w:t>2</w:t>
      </w:r>
      <w:r>
        <w:rPr>
          <w:rFonts w:hint="eastAsia" w:asciiTheme="minorEastAsia" w:hAnsiTheme="minorEastAsia" w:cstheme="minorEastAsia"/>
          <w:color w:val="auto"/>
          <w:sz w:val="24"/>
          <w:szCs w:val="24"/>
          <w:highlight w:val="none"/>
          <w:lang w:eastAsia="zh-CN"/>
        </w:rPr>
        <w:t>）</w:t>
      </w:r>
      <w:r>
        <w:rPr>
          <w:rFonts w:asciiTheme="minorEastAsia" w:hAnsiTheme="minorEastAsia" w:cstheme="minorEastAsia"/>
          <w:color w:val="auto"/>
          <w:sz w:val="24"/>
          <w:szCs w:val="24"/>
          <w:highlight w:val="none"/>
          <w:lang w:eastAsia="zh-CN"/>
        </w:rPr>
        <w:t>投标人</w:t>
      </w:r>
      <w:r>
        <w:rPr>
          <w:rFonts w:asciiTheme="minorEastAsia" w:hAnsiTheme="minorEastAsia" w:cstheme="minorEastAsia"/>
          <w:color w:val="auto"/>
          <w:sz w:val="24"/>
          <w:szCs w:val="24"/>
          <w:highlight w:val="none"/>
        </w:rPr>
        <w:t>须</w:t>
      </w:r>
      <w:r>
        <w:rPr>
          <w:rFonts w:hint="eastAsia" w:asciiTheme="minorEastAsia" w:hAnsiTheme="minorEastAsia" w:cstheme="minorEastAsia"/>
          <w:color w:val="auto"/>
          <w:sz w:val="24"/>
          <w:szCs w:val="24"/>
          <w:highlight w:val="none"/>
          <w:lang w:val="en-US" w:eastAsia="zh-CN"/>
        </w:rPr>
        <w:t>将</w:t>
      </w:r>
      <w:r>
        <w:rPr>
          <w:rFonts w:asciiTheme="minorEastAsia" w:hAnsiTheme="minorEastAsia" w:cstheme="minorEastAsia"/>
          <w:color w:val="auto"/>
          <w:sz w:val="24"/>
          <w:szCs w:val="24"/>
          <w:highlight w:val="none"/>
          <w:lang w:eastAsia="zh-CN"/>
        </w:rPr>
        <w:t>招标（采购）文件获取登记表</w:t>
      </w:r>
      <w:r>
        <w:rPr>
          <w:rFonts w:hint="eastAsia" w:asciiTheme="minorEastAsia" w:hAnsiTheme="minorEastAsia" w:cstheme="minorEastAsia"/>
          <w:color w:val="auto"/>
          <w:sz w:val="24"/>
          <w:szCs w:val="24"/>
          <w:highlight w:val="none"/>
          <w:lang w:eastAsia="zh-CN"/>
        </w:rPr>
        <w:t>（</w:t>
      </w:r>
      <w:r>
        <w:rPr>
          <w:rFonts w:hint="eastAsia" w:asciiTheme="minorEastAsia" w:hAnsiTheme="minorEastAsia" w:cstheme="minorEastAsia"/>
          <w:color w:val="auto"/>
          <w:sz w:val="24"/>
          <w:szCs w:val="24"/>
          <w:highlight w:val="none"/>
          <w:lang w:val="en-US" w:eastAsia="zh-CN"/>
        </w:rPr>
        <w:t>详见招标公告附件</w:t>
      </w:r>
      <w:r>
        <w:rPr>
          <w:rFonts w:hint="eastAsia" w:asciiTheme="minorEastAsia" w:hAnsiTheme="minorEastAsia" w:cstheme="minorEastAsia"/>
          <w:color w:val="auto"/>
          <w:sz w:val="24"/>
          <w:szCs w:val="24"/>
          <w:highlight w:val="none"/>
          <w:lang w:eastAsia="zh-CN"/>
        </w:rPr>
        <w:t>）</w:t>
      </w:r>
      <w:r>
        <w:rPr>
          <w:rFonts w:asciiTheme="minorEastAsia" w:hAnsiTheme="minorEastAsia" w:cstheme="minorEastAsia"/>
          <w:color w:val="auto"/>
          <w:sz w:val="24"/>
          <w:szCs w:val="24"/>
          <w:highlight w:val="none"/>
        </w:rPr>
        <w:t>以邮件形式发送至我公司</w:t>
      </w:r>
      <w:r>
        <w:rPr>
          <w:rFonts w:hint="eastAsia" w:asciiTheme="minorEastAsia" w:hAnsiTheme="minorEastAsia" w:cstheme="minorEastAsia"/>
          <w:color w:val="auto"/>
          <w:sz w:val="24"/>
          <w:szCs w:val="24"/>
          <w:highlight w:val="none"/>
          <w:lang w:eastAsia="zh-CN"/>
        </w:rPr>
        <w:t>邮箱</w:t>
      </w:r>
      <w:r>
        <w:rPr>
          <w:rFonts w:asciiTheme="minorEastAsia" w:hAnsiTheme="minorEastAsia" w:cstheme="minorEastAsia"/>
          <w:color w:val="auto"/>
          <w:sz w:val="24"/>
          <w:szCs w:val="24"/>
          <w:highlight w:val="none"/>
        </w:rPr>
        <w:t>（</w:t>
      </w:r>
      <w:r>
        <w:rPr>
          <w:rFonts w:hint="eastAsia" w:asciiTheme="minorEastAsia" w:hAnsiTheme="minorEastAsia" w:cstheme="minorEastAsia"/>
          <w:color w:val="auto"/>
          <w:sz w:val="24"/>
          <w:szCs w:val="24"/>
          <w:highlight w:val="none"/>
          <w:lang w:val="en-US" w:eastAsia="zh-CN"/>
        </w:rPr>
        <w:t>FJSHYZB</w:t>
      </w:r>
      <w:r>
        <w:rPr>
          <w:rFonts w:hint="eastAsia" w:asciiTheme="minorEastAsia" w:hAnsiTheme="minorEastAsia" w:cstheme="minorEastAsia"/>
          <w:color w:val="auto"/>
          <w:sz w:val="24"/>
          <w:szCs w:val="24"/>
          <w:highlight w:val="none"/>
          <w:lang w:eastAsia="zh-CN"/>
        </w:rPr>
        <w:t>@163.COM</w:t>
      </w:r>
      <w:r>
        <w:rPr>
          <w:rFonts w:asciiTheme="minorEastAsia" w:hAnsiTheme="minorEastAsia" w:cstheme="minorEastAsia"/>
          <w:color w:val="auto"/>
          <w:sz w:val="24"/>
          <w:szCs w:val="24"/>
          <w:highlight w:val="none"/>
        </w:rPr>
        <w:t>）。未办理报名手续的不予以书面变更通知及不受理投标。</w:t>
      </w:r>
    </w:p>
    <w:p w14:paraId="23AA71E7">
      <w:pPr>
        <w:pStyle w:val="24"/>
        <w:spacing w:line="360" w:lineRule="auto"/>
        <w:ind w:firstLine="480"/>
        <w:jc w:val="both"/>
        <w:rPr>
          <w:rFonts w:hint="default"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cstheme="minorEastAsia"/>
          <w:b/>
          <w:color w:val="auto"/>
          <w:sz w:val="24"/>
          <w:szCs w:val="24"/>
          <w:highlight w:val="none"/>
        </w:rPr>
        <w:t>7.投标保证金</w:t>
      </w:r>
    </w:p>
    <w:p w14:paraId="1F8E6982">
      <w:pPr>
        <w:pStyle w:val="24"/>
        <w:spacing w:line="360" w:lineRule="auto"/>
        <w:ind w:firstLine="480"/>
        <w:jc w:val="both"/>
        <w:rPr>
          <w:rFonts w:hint="default"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cstheme="minorEastAsia"/>
          <w:b w:val="0"/>
          <w:bCs/>
          <w:color w:val="auto"/>
          <w:sz w:val="24"/>
          <w:szCs w:val="24"/>
          <w:highlight w:val="none"/>
          <w:lang w:val="en-US" w:eastAsia="zh-CN"/>
        </w:rPr>
        <w:t>7.1投标保证金金额：71500元</w:t>
      </w:r>
    </w:p>
    <w:p w14:paraId="3FE0F493">
      <w:pPr>
        <w:pStyle w:val="24"/>
        <w:spacing w:line="360" w:lineRule="auto"/>
        <w:ind w:firstLine="480"/>
        <w:jc w:val="both"/>
        <w:rPr>
          <w:rFonts w:hint="eastAsia" w:asciiTheme="minorEastAsia" w:hAnsiTheme="minorEastAsia" w:cstheme="minorEastAsia"/>
          <w:b w:val="0"/>
          <w:bCs/>
          <w:color w:val="auto"/>
          <w:sz w:val="24"/>
          <w:szCs w:val="24"/>
          <w:highlight w:val="none"/>
          <w:lang w:eastAsia="zh-CN"/>
        </w:rPr>
      </w:pPr>
      <w:r>
        <w:rPr>
          <w:rFonts w:hint="eastAsia" w:asciiTheme="minorEastAsia" w:hAnsiTheme="minorEastAsia" w:cstheme="minorEastAsia"/>
          <w:b w:val="0"/>
          <w:bCs/>
          <w:color w:val="auto"/>
          <w:sz w:val="24"/>
          <w:szCs w:val="24"/>
          <w:highlight w:val="none"/>
        </w:rPr>
        <w:t>7.</w:t>
      </w:r>
      <w:r>
        <w:rPr>
          <w:rFonts w:hint="eastAsia" w:asciiTheme="minorEastAsia" w:hAnsiTheme="minorEastAsia" w:cstheme="minorEastAsia"/>
          <w:b w:val="0"/>
          <w:bCs/>
          <w:color w:val="auto"/>
          <w:sz w:val="24"/>
          <w:szCs w:val="24"/>
          <w:highlight w:val="none"/>
          <w:lang w:val="en-US" w:eastAsia="zh-CN"/>
        </w:rPr>
        <w:t>2</w:t>
      </w:r>
      <w:r>
        <w:rPr>
          <w:rFonts w:hint="eastAsia" w:asciiTheme="minorEastAsia" w:hAnsiTheme="minorEastAsia" w:cstheme="minorEastAsia"/>
          <w:b w:val="0"/>
          <w:bCs/>
          <w:color w:val="auto"/>
          <w:sz w:val="24"/>
          <w:szCs w:val="24"/>
          <w:highlight w:val="none"/>
          <w:lang w:eastAsia="zh-CN"/>
        </w:rPr>
        <w:t>投标保证金可以采用支票、汇票、本票或者金融机构、担保机构出具的保函等非现金形式提交。</w:t>
      </w:r>
    </w:p>
    <w:p w14:paraId="3FC4B01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w:t>
      </w:r>
      <w:r>
        <w:rPr>
          <w:rFonts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投标截止</w:t>
      </w:r>
    </w:p>
    <w:p w14:paraId="4D899D00">
      <w:pPr>
        <w:pStyle w:val="24"/>
        <w:spacing w:line="360" w:lineRule="auto"/>
        <w:ind w:firstLine="480"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8.1投标截止时间：202</w:t>
      </w:r>
      <w:r>
        <w:rPr>
          <w:rFonts w:hint="eastAsia" w:asciiTheme="minorEastAsia" w:hAnsiTheme="minorEastAsia" w:cstheme="minorEastAsia"/>
          <w:color w:val="auto"/>
          <w:sz w:val="24"/>
          <w:szCs w:val="24"/>
          <w:highlight w:val="none"/>
          <w:lang w:val="en-US" w:eastAsia="zh-CN"/>
        </w:rPr>
        <w:t>4</w:t>
      </w:r>
      <w:r>
        <w:rPr>
          <w:rFonts w:asciiTheme="minorEastAsia" w:hAnsiTheme="minorEastAsia" w:cstheme="minorEastAsia"/>
          <w:color w:val="auto"/>
          <w:sz w:val="24"/>
          <w:szCs w:val="24"/>
          <w:highlight w:val="none"/>
        </w:rPr>
        <w:t>年</w:t>
      </w:r>
      <w:r>
        <w:rPr>
          <w:rFonts w:hint="eastAsia" w:asciiTheme="minorEastAsia" w:hAnsiTheme="minorEastAsia" w:cstheme="minorEastAsia"/>
          <w:color w:val="auto"/>
          <w:sz w:val="24"/>
          <w:szCs w:val="24"/>
          <w:highlight w:val="none"/>
          <w:lang w:val="en-US" w:eastAsia="zh-CN"/>
        </w:rPr>
        <w:t xml:space="preserve">  </w:t>
      </w:r>
      <w:r>
        <w:rPr>
          <w:rFonts w:asciiTheme="minorEastAsia" w:hAnsiTheme="minorEastAsia" w:cstheme="minorEastAsia"/>
          <w:color w:val="auto"/>
          <w:sz w:val="24"/>
          <w:szCs w:val="24"/>
          <w:highlight w:val="none"/>
        </w:rPr>
        <w:t>月</w:t>
      </w:r>
      <w:r>
        <w:rPr>
          <w:rFonts w:hint="eastAsia" w:asciiTheme="minorEastAsia" w:hAnsiTheme="minorEastAsia" w:cstheme="minorEastAsia"/>
          <w:color w:val="auto"/>
          <w:sz w:val="24"/>
          <w:szCs w:val="24"/>
          <w:highlight w:val="none"/>
          <w:lang w:val="en-US" w:eastAsia="zh-CN"/>
        </w:rPr>
        <w:t xml:space="preserve">  </w:t>
      </w:r>
      <w:r>
        <w:rPr>
          <w:rFonts w:asciiTheme="minorEastAsia" w:hAnsiTheme="minorEastAsia" w:cstheme="minorEastAsia"/>
          <w:color w:val="auto"/>
          <w:sz w:val="24"/>
          <w:szCs w:val="24"/>
          <w:highlight w:val="none"/>
        </w:rPr>
        <w:t>日</w:t>
      </w:r>
      <w:r>
        <w:rPr>
          <w:rFonts w:hint="eastAsia" w:asciiTheme="minorEastAsia" w:hAnsiTheme="minorEastAsia" w:cstheme="minorEastAsia"/>
          <w:color w:val="auto"/>
          <w:sz w:val="24"/>
          <w:szCs w:val="24"/>
          <w:highlight w:val="none"/>
          <w:lang w:val="en-US" w:eastAsia="zh-CN"/>
        </w:rPr>
        <w:t xml:space="preserve">  </w:t>
      </w:r>
      <w:r>
        <w:rPr>
          <w:rFonts w:asciiTheme="minorEastAsia" w:hAnsiTheme="minorEastAsia" w:cstheme="minorEastAsia"/>
          <w:color w:val="auto"/>
          <w:sz w:val="24"/>
          <w:szCs w:val="24"/>
          <w:highlight w:val="none"/>
        </w:rPr>
        <w:t>（北京时间）</w:t>
      </w:r>
    </w:p>
    <w:p w14:paraId="26BEDB32">
      <w:pPr>
        <w:pStyle w:val="24"/>
        <w:spacing w:line="360" w:lineRule="auto"/>
        <w:ind w:firstLine="480" w:firstLineChars="200"/>
        <w:jc w:val="both"/>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lang w:eastAsia="zh-CN"/>
        </w:rPr>
        <w:t>8.2投标文件递交地点：</w:t>
      </w:r>
      <w:r>
        <w:rPr>
          <w:rFonts w:hint="eastAsia" w:asciiTheme="minorEastAsia" w:hAnsiTheme="minorEastAsia" w:cstheme="minorEastAsia"/>
          <w:bCs/>
          <w:color w:val="auto"/>
          <w:sz w:val="24"/>
          <w:szCs w:val="24"/>
          <w:highlight w:val="none"/>
          <w:lang w:eastAsia="zh-CN"/>
        </w:rPr>
        <w:t>宁德市蕉城区蕉城南路40号锦绣茗苑1幢1907室开标厅</w:t>
      </w:r>
    </w:p>
    <w:p w14:paraId="31902B44">
      <w:pPr>
        <w:pStyle w:val="24"/>
        <w:spacing w:line="360" w:lineRule="auto"/>
        <w:ind w:firstLine="480"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8.</w:t>
      </w:r>
      <w:r>
        <w:rPr>
          <w:rFonts w:asciiTheme="minorEastAsia" w:hAnsiTheme="minorEastAsia" w:cstheme="minorEastAsia"/>
          <w:color w:val="auto"/>
          <w:sz w:val="24"/>
          <w:szCs w:val="24"/>
          <w:highlight w:val="none"/>
          <w:lang w:eastAsia="zh-CN"/>
        </w:rPr>
        <w:t>3</w:t>
      </w:r>
      <w:r>
        <w:rPr>
          <w:rFonts w:asciiTheme="minorEastAsia" w:hAnsiTheme="minorEastAsia" w:cstheme="minorEastAsia"/>
          <w:color w:val="auto"/>
          <w:sz w:val="24"/>
          <w:szCs w:val="24"/>
          <w:highlight w:val="none"/>
        </w:rPr>
        <w:t>投标人应在投标截止时间前递交按规定密封的纸质</w:t>
      </w:r>
      <w:r>
        <w:rPr>
          <w:rFonts w:asciiTheme="minorEastAsia" w:hAnsiTheme="minorEastAsia" w:cstheme="minorEastAsia"/>
          <w:color w:val="auto"/>
          <w:sz w:val="24"/>
          <w:szCs w:val="24"/>
          <w:highlight w:val="none"/>
          <w:lang w:eastAsia="zh-CN"/>
        </w:rPr>
        <w:t>投标</w:t>
      </w:r>
      <w:r>
        <w:rPr>
          <w:rFonts w:asciiTheme="minorEastAsia" w:hAnsiTheme="minorEastAsia" w:cstheme="minorEastAsia"/>
          <w:color w:val="auto"/>
          <w:sz w:val="24"/>
          <w:szCs w:val="24"/>
          <w:highlight w:val="none"/>
        </w:rPr>
        <w:t>文件，未按规定递交纸质</w:t>
      </w:r>
      <w:r>
        <w:rPr>
          <w:rFonts w:asciiTheme="minorEastAsia" w:hAnsiTheme="minorEastAsia" w:cstheme="minorEastAsia"/>
          <w:color w:val="auto"/>
          <w:sz w:val="24"/>
          <w:szCs w:val="24"/>
          <w:highlight w:val="none"/>
          <w:lang w:eastAsia="zh-CN"/>
        </w:rPr>
        <w:t>投标</w:t>
      </w:r>
      <w:r>
        <w:rPr>
          <w:rFonts w:asciiTheme="minorEastAsia" w:hAnsiTheme="minorEastAsia" w:cstheme="minorEastAsia"/>
          <w:color w:val="auto"/>
          <w:sz w:val="24"/>
          <w:szCs w:val="24"/>
          <w:highlight w:val="none"/>
        </w:rPr>
        <w:t>文件的，其投标将被拒绝。</w:t>
      </w:r>
    </w:p>
    <w:p w14:paraId="7BA63CD7">
      <w:pPr>
        <w:pStyle w:val="24"/>
        <w:spacing w:line="360" w:lineRule="auto"/>
        <w:ind w:firstLine="480"/>
        <w:jc w:val="both"/>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9</w:t>
      </w:r>
      <w:r>
        <w:rPr>
          <w:rFonts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开标时间及地点</w:t>
      </w:r>
    </w:p>
    <w:p w14:paraId="5A1FD14B">
      <w:pPr>
        <w:pStyle w:val="24"/>
        <w:spacing w:line="360" w:lineRule="auto"/>
        <w:ind w:firstLine="482" w:firstLineChars="200"/>
        <w:jc w:val="both"/>
        <w:rPr>
          <w:rFonts w:hint="default" w:asciiTheme="minorEastAsia" w:hAnsiTheme="minorEastAsia" w:cstheme="minorEastAsia"/>
          <w:b/>
          <w:bCs/>
          <w:color w:val="auto"/>
          <w:sz w:val="24"/>
          <w:szCs w:val="24"/>
          <w:highlight w:val="none"/>
        </w:rPr>
      </w:pPr>
      <w:r>
        <w:rPr>
          <w:rFonts w:asciiTheme="minorEastAsia" w:hAnsiTheme="minorEastAsia" w:cstheme="minorEastAsia"/>
          <w:b/>
          <w:bCs/>
          <w:color w:val="auto"/>
          <w:sz w:val="24"/>
          <w:szCs w:val="24"/>
          <w:highlight w:val="none"/>
        </w:rPr>
        <w:t>开标时间：202</w:t>
      </w:r>
      <w:r>
        <w:rPr>
          <w:rFonts w:hint="eastAsia" w:asciiTheme="minorEastAsia" w:hAnsiTheme="minorEastAsia" w:cstheme="minorEastAsia"/>
          <w:b/>
          <w:bCs/>
          <w:color w:val="auto"/>
          <w:sz w:val="24"/>
          <w:szCs w:val="24"/>
          <w:highlight w:val="none"/>
          <w:lang w:val="en-US" w:eastAsia="zh-CN"/>
        </w:rPr>
        <w:t>4</w:t>
      </w:r>
      <w:r>
        <w:rPr>
          <w:rFonts w:asciiTheme="minorEastAsia" w:hAnsiTheme="minorEastAsia" w:cstheme="minorEastAsia"/>
          <w:b/>
          <w:bCs/>
          <w:color w:val="auto"/>
          <w:sz w:val="24"/>
          <w:szCs w:val="24"/>
          <w:highlight w:val="none"/>
        </w:rPr>
        <w:t>年</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月</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日</w:t>
      </w:r>
      <w:r>
        <w:rPr>
          <w:rFonts w:hint="eastAsia" w:asciiTheme="minorEastAsia" w:hAnsiTheme="minorEastAsia" w:cstheme="minorEastAsia"/>
          <w:b/>
          <w:bCs/>
          <w:color w:val="auto"/>
          <w:sz w:val="24"/>
          <w:szCs w:val="24"/>
          <w:highlight w:val="none"/>
          <w:lang w:val="en-US" w:eastAsia="zh-CN"/>
        </w:rPr>
        <w:t xml:space="preserve">  </w:t>
      </w:r>
      <w:r>
        <w:rPr>
          <w:rFonts w:asciiTheme="minorEastAsia" w:hAnsiTheme="minorEastAsia" w:cstheme="minorEastAsia"/>
          <w:b/>
          <w:bCs/>
          <w:color w:val="auto"/>
          <w:sz w:val="24"/>
          <w:szCs w:val="24"/>
          <w:highlight w:val="none"/>
        </w:rPr>
        <w:t>（北京时间）</w:t>
      </w:r>
    </w:p>
    <w:p w14:paraId="4F9D036D">
      <w:pPr>
        <w:pStyle w:val="24"/>
        <w:spacing w:line="360" w:lineRule="auto"/>
        <w:ind w:firstLine="482" w:firstLineChars="200"/>
        <w:jc w:val="both"/>
        <w:rPr>
          <w:rFonts w:hint="default" w:asciiTheme="minorEastAsia" w:hAnsiTheme="minorEastAsia" w:cstheme="minorEastAsia"/>
          <w:b/>
          <w:bCs w:val="0"/>
          <w:color w:val="auto"/>
          <w:sz w:val="24"/>
          <w:szCs w:val="24"/>
          <w:highlight w:val="none"/>
        </w:rPr>
      </w:pPr>
      <w:r>
        <w:rPr>
          <w:rFonts w:asciiTheme="minorEastAsia" w:hAnsiTheme="minorEastAsia" w:cstheme="minorEastAsia"/>
          <w:b/>
          <w:bCs/>
          <w:color w:val="auto"/>
          <w:sz w:val="24"/>
          <w:szCs w:val="24"/>
          <w:highlight w:val="none"/>
        </w:rPr>
        <w:t>开标地点：</w:t>
      </w:r>
      <w:r>
        <w:rPr>
          <w:rFonts w:hint="eastAsia" w:asciiTheme="minorEastAsia" w:hAnsiTheme="minorEastAsia" w:cstheme="minorEastAsia"/>
          <w:b/>
          <w:bCs w:val="0"/>
          <w:color w:val="auto"/>
          <w:sz w:val="24"/>
          <w:szCs w:val="24"/>
          <w:highlight w:val="none"/>
          <w:lang w:eastAsia="zh-CN"/>
        </w:rPr>
        <w:t>宁德市蕉城区蕉城南路40号锦绣茗苑1幢1907室开标厅</w:t>
      </w:r>
    </w:p>
    <w:p w14:paraId="6AA0392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w:t>
      </w:r>
      <w:r>
        <w:rPr>
          <w:rFonts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公告期限</w:t>
      </w:r>
    </w:p>
    <w:p w14:paraId="75A238B0">
      <w:pPr>
        <w:pStyle w:val="24"/>
        <w:spacing w:line="360" w:lineRule="auto"/>
        <w:ind w:firstLine="480" w:firstLineChars="200"/>
        <w:jc w:val="both"/>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10.1招标公告的公告期限：自发布公告之日起5个工作日。</w:t>
      </w:r>
    </w:p>
    <w:p w14:paraId="4D937379">
      <w:pPr>
        <w:pStyle w:val="24"/>
        <w:spacing w:line="360" w:lineRule="auto"/>
        <w:ind w:firstLine="482" w:firstLineChars="200"/>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lang w:eastAsia="zh-CN"/>
        </w:rPr>
        <w:t>11.</w:t>
      </w:r>
      <w:r>
        <w:rPr>
          <w:rFonts w:asciiTheme="minorEastAsia" w:hAnsiTheme="minorEastAsia" w:cstheme="minorEastAsia"/>
          <w:b/>
          <w:color w:val="auto"/>
          <w:sz w:val="24"/>
          <w:szCs w:val="24"/>
          <w:highlight w:val="none"/>
        </w:rPr>
        <w:t>采购人信息：</w:t>
      </w:r>
    </w:p>
    <w:p w14:paraId="60616D8F">
      <w:pPr>
        <w:pStyle w:val="24"/>
        <w:spacing w:line="360" w:lineRule="auto"/>
        <w:ind w:firstLine="480" w:firstLineChars="200"/>
        <w:rPr>
          <w:rFonts w:hint="default" w:asciiTheme="minorEastAsia" w:hAnsiTheme="minorEastAsia" w:cstheme="minorEastAsia"/>
          <w:bCs/>
          <w:color w:val="auto"/>
          <w:sz w:val="24"/>
          <w:szCs w:val="24"/>
          <w:highlight w:val="none"/>
          <w:lang w:eastAsia="zh-CN"/>
        </w:rPr>
      </w:pPr>
      <w:r>
        <w:rPr>
          <w:rFonts w:asciiTheme="minorEastAsia" w:hAnsiTheme="minorEastAsia" w:cstheme="minorEastAsia"/>
          <w:bCs/>
          <w:color w:val="auto"/>
          <w:sz w:val="24"/>
          <w:szCs w:val="24"/>
          <w:highlight w:val="none"/>
        </w:rPr>
        <w:t>采购人：</w:t>
      </w:r>
      <w:r>
        <w:rPr>
          <w:rFonts w:hint="eastAsia" w:asciiTheme="minorEastAsia" w:hAnsiTheme="minorEastAsia" w:cstheme="minorEastAsia"/>
          <w:bCs/>
          <w:color w:val="auto"/>
          <w:sz w:val="24"/>
          <w:szCs w:val="24"/>
          <w:highlight w:val="none"/>
          <w:lang w:eastAsia="zh-CN"/>
        </w:rPr>
        <w:t>宁德市宁港水陆联运有限公司</w:t>
      </w:r>
    </w:p>
    <w:p w14:paraId="1FFBB060">
      <w:pPr>
        <w:pStyle w:val="24"/>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地址：</w:t>
      </w:r>
      <w:r>
        <w:rPr>
          <w:rFonts w:hint="eastAsia" w:asciiTheme="minorEastAsia" w:hAnsiTheme="minorEastAsia" w:cstheme="minorEastAsia"/>
          <w:color w:val="auto"/>
          <w:sz w:val="24"/>
          <w:szCs w:val="24"/>
          <w:highlight w:val="none"/>
          <w:lang w:eastAsia="zh-CN"/>
        </w:rPr>
        <w:t>宁德市东侨区余复路16号天行商务中心第2层　</w:t>
      </w:r>
    </w:p>
    <w:p w14:paraId="771769C1">
      <w:pPr>
        <w:pStyle w:val="24"/>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邮编：</w:t>
      </w:r>
      <w:r>
        <w:rPr>
          <w:rFonts w:hint="eastAsia" w:asciiTheme="minorEastAsia" w:hAnsiTheme="minorEastAsia" w:cstheme="minorEastAsia"/>
          <w:color w:val="auto"/>
          <w:sz w:val="24"/>
          <w:szCs w:val="24"/>
          <w:highlight w:val="none"/>
          <w:lang w:val="en-US" w:eastAsia="zh-CN"/>
        </w:rPr>
        <w:t>352100</w:t>
      </w:r>
    </w:p>
    <w:p w14:paraId="3DF50A96">
      <w:pPr>
        <w:pStyle w:val="24"/>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联系人：刘涛</w:t>
      </w:r>
    </w:p>
    <w:p w14:paraId="1EFD8361">
      <w:pPr>
        <w:pStyle w:val="24"/>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联系电话：13805018196</w:t>
      </w:r>
    </w:p>
    <w:p w14:paraId="055FE2A7">
      <w:pPr>
        <w:pStyle w:val="24"/>
        <w:spacing w:line="360" w:lineRule="auto"/>
        <w:ind w:firstLine="482" w:firstLineChars="200"/>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lang w:eastAsia="zh-CN"/>
        </w:rPr>
        <w:t>12.</w:t>
      </w:r>
      <w:r>
        <w:rPr>
          <w:rFonts w:asciiTheme="minorEastAsia" w:hAnsiTheme="minorEastAsia" w:cstheme="minorEastAsia"/>
          <w:b/>
          <w:color w:val="auto"/>
          <w:sz w:val="24"/>
          <w:szCs w:val="24"/>
          <w:highlight w:val="none"/>
        </w:rPr>
        <w:t>采购代理机构信息：</w:t>
      </w:r>
    </w:p>
    <w:p w14:paraId="79BD6CF2">
      <w:pPr>
        <w:pStyle w:val="24"/>
        <w:spacing w:line="360" w:lineRule="auto"/>
        <w:ind w:firstLine="480" w:firstLineChars="200"/>
        <w:rPr>
          <w:rFonts w:hint="eastAsia" w:asciiTheme="minorEastAsia" w:hAnsiTheme="minorEastAsia" w:eastAsiaTheme="minorEastAsia" w:cstheme="minorEastAsia"/>
          <w:bCs/>
          <w:color w:val="auto"/>
          <w:sz w:val="24"/>
          <w:szCs w:val="24"/>
          <w:highlight w:val="none"/>
          <w:lang w:eastAsia="zh-CN"/>
        </w:rPr>
      </w:pPr>
      <w:r>
        <w:rPr>
          <w:rFonts w:asciiTheme="minorEastAsia" w:hAnsiTheme="minorEastAsia" w:cstheme="minorEastAsia"/>
          <w:bCs/>
          <w:color w:val="auto"/>
          <w:sz w:val="24"/>
          <w:szCs w:val="24"/>
          <w:highlight w:val="none"/>
          <w:lang w:eastAsia="zh-CN"/>
        </w:rPr>
        <w:t>代理机构：</w:t>
      </w:r>
      <w:r>
        <w:rPr>
          <w:rFonts w:hint="eastAsia" w:asciiTheme="minorEastAsia" w:hAnsiTheme="minorEastAsia" w:cstheme="minorEastAsia"/>
          <w:bCs/>
          <w:color w:val="auto"/>
          <w:sz w:val="24"/>
          <w:szCs w:val="24"/>
          <w:highlight w:val="none"/>
          <w:lang w:eastAsia="zh-CN"/>
        </w:rPr>
        <w:t>福建省鸿远招标有限公司</w:t>
      </w:r>
    </w:p>
    <w:p w14:paraId="2A272217">
      <w:pPr>
        <w:pStyle w:val="24"/>
        <w:spacing w:line="360" w:lineRule="auto"/>
        <w:ind w:firstLine="480" w:firstLineChars="200"/>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Cs/>
          <w:color w:val="auto"/>
          <w:sz w:val="24"/>
          <w:szCs w:val="24"/>
          <w:highlight w:val="none"/>
        </w:rPr>
        <w:t>地址：</w:t>
      </w:r>
      <w:r>
        <w:rPr>
          <w:rFonts w:hint="eastAsia" w:asciiTheme="minorEastAsia" w:hAnsiTheme="minorEastAsia" w:cstheme="minorEastAsia"/>
          <w:bCs/>
          <w:color w:val="auto"/>
          <w:sz w:val="24"/>
          <w:szCs w:val="24"/>
          <w:highlight w:val="none"/>
          <w:lang w:eastAsia="zh-CN"/>
        </w:rPr>
        <w:t>宁德市蕉城区蕉城南路40号锦绣茗苑1幢1907室</w:t>
      </w:r>
    </w:p>
    <w:p w14:paraId="0E0BF4F4">
      <w:pPr>
        <w:pStyle w:val="24"/>
        <w:spacing w:line="360" w:lineRule="auto"/>
        <w:ind w:firstLine="480" w:firstLineChars="20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邮编：352100</w:t>
      </w:r>
    </w:p>
    <w:p w14:paraId="053DAFBF">
      <w:pPr>
        <w:pStyle w:val="24"/>
        <w:spacing w:line="360" w:lineRule="auto"/>
        <w:ind w:firstLine="480" w:firstLineChars="200"/>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联系人：</w:t>
      </w:r>
      <w:r>
        <w:rPr>
          <w:rFonts w:hint="eastAsia" w:asciiTheme="minorEastAsia" w:hAnsiTheme="minorEastAsia" w:cstheme="minorEastAsia"/>
          <w:color w:val="auto"/>
          <w:sz w:val="24"/>
          <w:szCs w:val="24"/>
          <w:highlight w:val="none"/>
          <w:lang w:eastAsia="zh-CN"/>
        </w:rPr>
        <w:t>叶浩、缪胧、小郑</w:t>
      </w:r>
    </w:p>
    <w:p w14:paraId="355B334C">
      <w:pPr>
        <w:pStyle w:val="24"/>
        <w:spacing w:line="360" w:lineRule="auto"/>
        <w:ind w:firstLine="480" w:firstLineChars="200"/>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联系电话：</w:t>
      </w:r>
      <w:r>
        <w:rPr>
          <w:rFonts w:hint="eastAsia" w:asciiTheme="minorEastAsia" w:hAnsiTheme="minorEastAsia" w:cstheme="minorEastAsia"/>
          <w:color w:val="auto"/>
          <w:sz w:val="24"/>
          <w:szCs w:val="24"/>
          <w:highlight w:val="none"/>
          <w:lang w:eastAsia="zh-CN"/>
        </w:rPr>
        <w:t>0593-2916316</w:t>
      </w:r>
    </w:p>
    <w:p w14:paraId="19A81451">
      <w:pPr>
        <w:rPr>
          <w:rFonts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br w:type="page"/>
      </w:r>
    </w:p>
    <w:p w14:paraId="67B50607">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附</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：采购标的一览表</w:t>
      </w:r>
    </w:p>
    <w:p w14:paraId="66F3BF78">
      <w:pPr>
        <w:pStyle w:val="24"/>
        <w:spacing w:line="360" w:lineRule="auto"/>
        <w:ind w:firstLine="480"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lang w:eastAsia="zh-CN"/>
        </w:rPr>
        <w:t>1</w:t>
      </w:r>
      <w:r>
        <w:rPr>
          <w:rFonts w:asciiTheme="minorEastAsia" w:hAnsiTheme="minorEastAsia" w:cstheme="minorEastAsia"/>
          <w:color w:val="auto"/>
          <w:sz w:val="24"/>
          <w:szCs w:val="24"/>
          <w:highlight w:val="none"/>
        </w:rPr>
        <w:t>：</w:t>
      </w:r>
    </w:p>
    <w:p w14:paraId="4E51CAEE">
      <w:pPr>
        <w:pStyle w:val="24"/>
        <w:spacing w:line="360" w:lineRule="auto"/>
        <w:ind w:firstLine="480" w:firstLineChars="20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 xml:space="preserve">预算金额（元）: </w:t>
      </w:r>
      <w:r>
        <w:rPr>
          <w:rFonts w:hint="eastAsia" w:asciiTheme="minorEastAsia" w:hAnsiTheme="minorEastAsia" w:cstheme="minorEastAsia"/>
          <w:color w:val="auto"/>
          <w:sz w:val="24"/>
          <w:highlight w:val="none"/>
          <w:lang w:val="en-US" w:eastAsia="zh-CN"/>
        </w:rPr>
        <w:t>7150766.00</w:t>
      </w:r>
    </w:p>
    <w:p w14:paraId="746FB0E7">
      <w:pPr>
        <w:pStyle w:val="24"/>
        <w:spacing w:line="360" w:lineRule="auto"/>
        <w:ind w:firstLine="480"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 xml:space="preserve">最高限价（元）: </w:t>
      </w:r>
      <w:r>
        <w:rPr>
          <w:rFonts w:hint="eastAsia" w:asciiTheme="minorEastAsia" w:hAnsiTheme="minorEastAsia" w:cstheme="minorEastAsia"/>
          <w:color w:val="auto"/>
          <w:sz w:val="24"/>
          <w:highlight w:val="none"/>
          <w:lang w:val="en-US" w:eastAsia="zh-CN"/>
        </w:rPr>
        <w:t>7150766.00</w:t>
      </w:r>
    </w:p>
    <w:tbl>
      <w:tblPr>
        <w:tblStyle w:val="17"/>
        <w:tblW w:w="9716"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68"/>
        <w:gridCol w:w="1776"/>
        <w:gridCol w:w="746"/>
        <w:gridCol w:w="1667"/>
        <w:gridCol w:w="863"/>
        <w:gridCol w:w="1087"/>
        <w:gridCol w:w="1445"/>
        <w:gridCol w:w="1364"/>
      </w:tblGrid>
      <w:tr w14:paraId="2E7B03E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68" w:type="dxa"/>
            <w:vAlign w:val="center"/>
          </w:tcPr>
          <w:p w14:paraId="52515B02">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序号</w:t>
            </w:r>
          </w:p>
        </w:tc>
        <w:tc>
          <w:tcPr>
            <w:tcW w:w="1776" w:type="dxa"/>
            <w:vAlign w:val="center"/>
          </w:tcPr>
          <w:p w14:paraId="435FBA91">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标的名称</w:t>
            </w:r>
          </w:p>
        </w:tc>
        <w:tc>
          <w:tcPr>
            <w:tcW w:w="746" w:type="dxa"/>
            <w:vAlign w:val="center"/>
          </w:tcPr>
          <w:p w14:paraId="32170253">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数量</w:t>
            </w:r>
          </w:p>
        </w:tc>
        <w:tc>
          <w:tcPr>
            <w:tcW w:w="1667" w:type="dxa"/>
            <w:vAlign w:val="center"/>
          </w:tcPr>
          <w:p w14:paraId="502387FD">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标的金额 （元）</w:t>
            </w:r>
          </w:p>
        </w:tc>
        <w:tc>
          <w:tcPr>
            <w:tcW w:w="863" w:type="dxa"/>
            <w:vAlign w:val="center"/>
          </w:tcPr>
          <w:p w14:paraId="7C8D5C0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单位</w:t>
            </w:r>
          </w:p>
        </w:tc>
        <w:tc>
          <w:tcPr>
            <w:tcW w:w="1087" w:type="dxa"/>
            <w:vAlign w:val="center"/>
          </w:tcPr>
          <w:p w14:paraId="4EFECA56">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b/>
                <w:bCs/>
                <w:color w:val="auto"/>
                <w:sz w:val="24"/>
                <w:highlight w:val="none"/>
                <w:lang w:val="en-US" w:eastAsia="zh-CN"/>
              </w:rPr>
            </w:pPr>
            <w:r>
              <w:rPr>
                <w:rFonts w:hint="eastAsia" w:asciiTheme="minorEastAsia" w:hAnsiTheme="minorEastAsia" w:cstheme="minorEastAsia"/>
                <w:b/>
                <w:bCs/>
                <w:color w:val="auto"/>
                <w:sz w:val="24"/>
                <w:highlight w:val="none"/>
                <w:lang w:val="en-US" w:eastAsia="zh-CN"/>
              </w:rPr>
              <w:t>允许进口</w:t>
            </w:r>
          </w:p>
        </w:tc>
        <w:tc>
          <w:tcPr>
            <w:tcW w:w="1445" w:type="dxa"/>
            <w:vAlign w:val="center"/>
          </w:tcPr>
          <w:p w14:paraId="26AD4912">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所属行业</w:t>
            </w:r>
          </w:p>
        </w:tc>
        <w:tc>
          <w:tcPr>
            <w:tcW w:w="1364" w:type="dxa"/>
            <w:vAlign w:val="center"/>
          </w:tcPr>
          <w:p w14:paraId="1C672BDA">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保证金金额（元）</w:t>
            </w:r>
          </w:p>
        </w:tc>
      </w:tr>
      <w:tr w14:paraId="24DCD51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68" w:type="dxa"/>
            <w:vAlign w:val="center"/>
          </w:tcPr>
          <w:p w14:paraId="362E4026">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1</w:t>
            </w:r>
          </w:p>
        </w:tc>
        <w:tc>
          <w:tcPr>
            <w:tcW w:w="1776" w:type="dxa"/>
            <w:vAlign w:val="center"/>
          </w:tcPr>
          <w:p w14:paraId="77F037BF">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跨境电商综合服务平台</w:t>
            </w:r>
          </w:p>
        </w:tc>
        <w:tc>
          <w:tcPr>
            <w:tcW w:w="746" w:type="dxa"/>
            <w:vAlign w:val="center"/>
          </w:tcPr>
          <w:p w14:paraId="578E6717">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1</w:t>
            </w:r>
          </w:p>
        </w:tc>
        <w:tc>
          <w:tcPr>
            <w:tcW w:w="1667" w:type="dxa"/>
            <w:vAlign w:val="center"/>
          </w:tcPr>
          <w:p w14:paraId="0067855B">
            <w:pPr>
              <w:keepNext w:val="0"/>
              <w:keepLines w:val="0"/>
              <w:suppressLineNumbers w:val="0"/>
              <w:spacing w:before="0" w:beforeAutospacing="0" w:after="0" w:afterAutospacing="0" w:line="360" w:lineRule="auto"/>
              <w:ind w:left="0" w:right="0"/>
              <w:jc w:val="center"/>
              <w:rPr>
                <w:rFonts w:hint="default"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7150766.00</w:t>
            </w:r>
          </w:p>
        </w:tc>
        <w:tc>
          <w:tcPr>
            <w:tcW w:w="863" w:type="dxa"/>
            <w:vAlign w:val="center"/>
          </w:tcPr>
          <w:p w14:paraId="3289EDDC">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项</w:t>
            </w:r>
          </w:p>
        </w:tc>
        <w:tc>
          <w:tcPr>
            <w:tcW w:w="1087" w:type="dxa"/>
            <w:vAlign w:val="center"/>
          </w:tcPr>
          <w:p w14:paraId="46C8927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eastAsia="zh-Hans"/>
              </w:rPr>
            </w:pPr>
            <w:r>
              <w:rPr>
                <w:rFonts w:hint="eastAsia" w:asciiTheme="minorEastAsia" w:hAnsiTheme="minorEastAsia" w:eastAsiaTheme="minorEastAsia" w:cstheme="minorEastAsia"/>
                <w:color w:val="auto"/>
                <w:sz w:val="24"/>
                <w:highlight w:val="none"/>
                <w:lang w:val="en-US" w:eastAsia="zh-CN"/>
              </w:rPr>
              <w:t>否</w:t>
            </w:r>
          </w:p>
        </w:tc>
        <w:tc>
          <w:tcPr>
            <w:tcW w:w="1445" w:type="dxa"/>
            <w:vAlign w:val="center"/>
          </w:tcPr>
          <w:p w14:paraId="1D298406">
            <w:pPr>
              <w:keepNext w:val="0"/>
              <w:keepLines w:val="0"/>
              <w:suppressLineNumbers w:val="0"/>
              <w:spacing w:before="0" w:beforeAutospacing="0" w:after="0" w:afterAutospacing="0" w:line="360" w:lineRule="auto"/>
              <w:ind w:left="0" w:right="0"/>
              <w:jc w:val="center"/>
              <w:rPr>
                <w:rFonts w:hint="eastAsia" w:asciiTheme="minorEastAsia" w:hAnsi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软件和信息技术服务业</w:t>
            </w:r>
          </w:p>
        </w:tc>
        <w:tc>
          <w:tcPr>
            <w:tcW w:w="1364" w:type="dxa"/>
            <w:vAlign w:val="center"/>
          </w:tcPr>
          <w:p w14:paraId="1075DC95">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71500</w:t>
            </w:r>
          </w:p>
        </w:tc>
      </w:tr>
    </w:tbl>
    <w:p w14:paraId="6B343461">
      <w:pPr>
        <w:pStyle w:val="24"/>
        <w:spacing w:line="360" w:lineRule="auto"/>
        <w:jc w:val="both"/>
        <w:rPr>
          <w:rFonts w:asciiTheme="minorEastAsia" w:hAnsiTheme="minorEastAsia" w:cstheme="minorEastAsia"/>
          <w:b/>
          <w:color w:val="auto"/>
          <w:sz w:val="24"/>
          <w:szCs w:val="24"/>
          <w:highlight w:val="none"/>
        </w:rPr>
      </w:pPr>
    </w:p>
    <w:p w14:paraId="717CC99D">
      <w:pPr>
        <w:pStyle w:val="24"/>
        <w:spacing w:line="360" w:lineRule="auto"/>
        <w:jc w:val="both"/>
        <w:rPr>
          <w:rFonts w:asciiTheme="minorEastAsia" w:hAnsiTheme="minorEastAsia" w:cstheme="minorEastAsia"/>
          <w:b/>
          <w:color w:val="auto"/>
          <w:sz w:val="24"/>
          <w:szCs w:val="24"/>
          <w:highlight w:val="none"/>
        </w:rPr>
      </w:pPr>
    </w:p>
    <w:p w14:paraId="43FD1129">
      <w:pPr>
        <w:pStyle w:val="24"/>
        <w:spacing w:line="360" w:lineRule="auto"/>
        <w:jc w:val="both"/>
        <w:rPr>
          <w:rFonts w:asciiTheme="minorEastAsia" w:hAnsiTheme="minorEastAsia" w:cstheme="minorEastAsia"/>
          <w:b/>
          <w:color w:val="auto"/>
          <w:sz w:val="24"/>
          <w:szCs w:val="24"/>
          <w:highlight w:val="none"/>
        </w:rPr>
      </w:pPr>
    </w:p>
    <w:p w14:paraId="7BE49037">
      <w:pPr>
        <w:pStyle w:val="24"/>
        <w:spacing w:line="360" w:lineRule="auto"/>
        <w:jc w:val="both"/>
        <w:rPr>
          <w:rFonts w:asciiTheme="minorEastAsia" w:hAnsiTheme="minorEastAsia" w:cstheme="minorEastAsia"/>
          <w:b/>
          <w:color w:val="auto"/>
          <w:sz w:val="24"/>
          <w:szCs w:val="24"/>
          <w:highlight w:val="none"/>
        </w:rPr>
      </w:pPr>
    </w:p>
    <w:p w14:paraId="2A4CC358">
      <w:pPr>
        <w:pStyle w:val="24"/>
        <w:spacing w:line="360" w:lineRule="auto"/>
        <w:jc w:val="both"/>
        <w:rPr>
          <w:rFonts w:asciiTheme="minorEastAsia" w:hAnsiTheme="minorEastAsia" w:cstheme="minorEastAsia"/>
          <w:b/>
          <w:color w:val="auto"/>
          <w:sz w:val="24"/>
          <w:szCs w:val="24"/>
          <w:highlight w:val="none"/>
        </w:rPr>
      </w:pPr>
    </w:p>
    <w:p w14:paraId="4B30B4B2">
      <w:pPr>
        <w:pStyle w:val="24"/>
        <w:spacing w:line="360" w:lineRule="auto"/>
        <w:jc w:val="both"/>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附</w:t>
      </w:r>
      <w:r>
        <w:rPr>
          <w:rFonts w:asciiTheme="minorEastAsia" w:hAnsiTheme="minorEastAsia" w:cstheme="minorEastAsia"/>
          <w:b/>
          <w:color w:val="auto"/>
          <w:sz w:val="24"/>
          <w:szCs w:val="24"/>
          <w:highlight w:val="none"/>
          <w:lang w:eastAsia="zh-CN"/>
        </w:rPr>
        <w:t>2</w:t>
      </w:r>
      <w:r>
        <w:rPr>
          <w:rFonts w:asciiTheme="minorEastAsia" w:hAnsiTheme="minorEastAsia" w:cstheme="minorEastAsia"/>
          <w:b/>
          <w:color w:val="auto"/>
          <w:sz w:val="24"/>
          <w:szCs w:val="24"/>
          <w:highlight w:val="none"/>
        </w:rPr>
        <w:t>：提交</w:t>
      </w:r>
      <w:r>
        <w:rPr>
          <w:rFonts w:asciiTheme="minorEastAsia" w:hAnsiTheme="minorEastAsia" w:cstheme="minorEastAsia"/>
          <w:b/>
          <w:color w:val="auto"/>
          <w:sz w:val="24"/>
          <w:szCs w:val="24"/>
          <w:highlight w:val="none"/>
          <w:lang w:eastAsia="zh-CN"/>
        </w:rPr>
        <w:t>投标</w:t>
      </w:r>
      <w:r>
        <w:rPr>
          <w:rFonts w:asciiTheme="minorEastAsia" w:hAnsiTheme="minorEastAsia" w:cstheme="minorEastAsia"/>
          <w:b/>
          <w:color w:val="auto"/>
          <w:sz w:val="24"/>
          <w:szCs w:val="24"/>
          <w:highlight w:val="none"/>
        </w:rPr>
        <w:t>保证金和招标代理服务费缴纳账</w:t>
      </w:r>
      <w:r>
        <w:rPr>
          <w:rFonts w:hint="eastAsia" w:asciiTheme="minorEastAsia" w:hAnsiTheme="minorEastAsia" w:cstheme="minorEastAsia"/>
          <w:b/>
          <w:color w:val="auto"/>
          <w:sz w:val="24"/>
          <w:szCs w:val="24"/>
          <w:highlight w:val="none"/>
          <w:lang w:val="en-US" w:eastAsia="zh-CN"/>
        </w:rPr>
        <w:t>户</w:t>
      </w:r>
      <w:r>
        <w:rPr>
          <w:rFonts w:asciiTheme="minorEastAsia" w:hAnsiTheme="minorEastAsia" w:cstheme="minorEastAsia"/>
          <w:b/>
          <w:color w:val="auto"/>
          <w:sz w:val="24"/>
          <w:szCs w:val="24"/>
          <w:highlight w:val="none"/>
        </w:rPr>
        <w:t>的银行账户信息</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520"/>
      </w:tblGrid>
      <w:tr w14:paraId="46A591D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2" w:hRule="atLeast"/>
          <w:jc w:val="center"/>
        </w:trPr>
        <w:tc>
          <w:tcPr>
            <w:tcW w:w="9520" w:type="dxa"/>
          </w:tcPr>
          <w:p w14:paraId="68334A16">
            <w:pPr>
              <w:pStyle w:val="24"/>
              <w:keepNext w:val="0"/>
              <w:keepLines w:val="0"/>
              <w:widowControl/>
              <w:suppressLineNumbers w:val="0"/>
              <w:spacing w:before="0" w:beforeAutospacing="0" w:after="0" w:afterAutospacing="0" w:line="360" w:lineRule="auto"/>
              <w:ind w:left="0" w:right="0"/>
              <w:jc w:val="center"/>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val="en-US" w:eastAsia="zh-CN"/>
              </w:rPr>
              <w:t>招标代理服务费缴纳</w:t>
            </w:r>
            <w:r>
              <w:rPr>
                <w:rFonts w:asciiTheme="minorEastAsia" w:hAnsiTheme="minorEastAsia" w:cstheme="minorEastAsia"/>
                <w:b/>
                <w:color w:val="auto"/>
                <w:sz w:val="24"/>
                <w:szCs w:val="24"/>
                <w:highlight w:val="none"/>
              </w:rPr>
              <w:t>账户</w:t>
            </w:r>
          </w:p>
        </w:tc>
      </w:tr>
      <w:tr w14:paraId="0C00E3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1" w:hRule="atLeast"/>
          <w:jc w:val="center"/>
        </w:trPr>
        <w:tc>
          <w:tcPr>
            <w:tcW w:w="9520" w:type="dxa"/>
            <w:vAlign w:val="center"/>
          </w:tcPr>
          <w:p w14:paraId="7A3961A1">
            <w:pPr>
              <w:pStyle w:val="24"/>
              <w:keepNext w:val="0"/>
              <w:keepLines w:val="0"/>
              <w:widowControl/>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开户名称：</w:t>
            </w:r>
            <w:r>
              <w:rPr>
                <w:rFonts w:hint="eastAsia" w:asciiTheme="minorEastAsia" w:hAnsiTheme="minorEastAsia" w:cstheme="minorEastAsia"/>
                <w:b/>
                <w:color w:val="auto"/>
                <w:sz w:val="24"/>
                <w:szCs w:val="24"/>
                <w:highlight w:val="none"/>
                <w:lang w:eastAsia="zh-CN"/>
              </w:rPr>
              <w:t>福建省鸿远招标有限公司</w:t>
            </w:r>
          </w:p>
        </w:tc>
      </w:tr>
      <w:tr w14:paraId="7E9F5C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24" w:hRule="atLeast"/>
          <w:jc w:val="center"/>
        </w:trPr>
        <w:tc>
          <w:tcPr>
            <w:tcW w:w="9520" w:type="dxa"/>
            <w:vAlign w:val="center"/>
          </w:tcPr>
          <w:p w14:paraId="2A06DCCD">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开户银行：</w:t>
            </w:r>
            <w:r>
              <w:rPr>
                <w:rFonts w:asciiTheme="minorEastAsia" w:hAnsiTheme="minorEastAsia" w:cstheme="minorEastAsia"/>
                <w:b/>
                <w:bCs/>
                <w:color w:val="auto"/>
                <w:sz w:val="24"/>
                <w:szCs w:val="24"/>
                <w:highlight w:val="none"/>
              </w:rPr>
              <w:t>中国建设银行股份有限公司宁德分行</w:t>
            </w:r>
          </w:p>
        </w:tc>
      </w:tr>
      <w:tr w14:paraId="07DE0DB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9520" w:type="dxa"/>
            <w:vAlign w:val="center"/>
          </w:tcPr>
          <w:p w14:paraId="2D01D9D5">
            <w:pPr>
              <w:pStyle w:val="24"/>
              <w:keepNext w:val="0"/>
              <w:keepLines w:val="0"/>
              <w:widowControl/>
              <w:suppressLineNumbers w:val="0"/>
              <w:spacing w:before="0" w:beforeAutospacing="0" w:after="0" w:afterAutospacing="0" w:line="360" w:lineRule="auto"/>
              <w:ind w:left="0" w:right="0"/>
              <w:jc w:val="both"/>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银行账号：</w:t>
            </w:r>
            <w:r>
              <w:rPr>
                <w:rFonts w:hint="eastAsia" w:asciiTheme="minorEastAsia" w:hAnsiTheme="minorEastAsia" w:cstheme="minorEastAsia"/>
                <w:b/>
                <w:bCs/>
                <w:color w:val="auto"/>
                <w:sz w:val="24"/>
                <w:szCs w:val="24"/>
                <w:highlight w:val="none"/>
                <w:lang w:eastAsia="zh-CN"/>
              </w:rPr>
              <w:t>35001682433052537321</w:t>
            </w:r>
          </w:p>
        </w:tc>
      </w:tr>
      <w:tr w14:paraId="08D906D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9520" w:type="dxa"/>
            <w:vAlign w:val="top"/>
          </w:tcPr>
          <w:p w14:paraId="6ED95E65">
            <w:pPr>
              <w:pStyle w:val="24"/>
              <w:keepNext w:val="0"/>
              <w:keepLines w:val="0"/>
              <w:widowControl/>
              <w:suppressLineNumbers w:val="0"/>
              <w:spacing w:before="0" w:beforeAutospacing="0" w:after="0" w:afterAutospacing="0" w:line="360" w:lineRule="auto"/>
              <w:ind w:left="0" w:right="0"/>
              <w:jc w:val="center"/>
              <w:rPr>
                <w:rFonts w:asciiTheme="minorEastAsia" w:hAnsiTheme="minorEastAsia" w:cstheme="minorEastAsia"/>
                <w:b/>
                <w:color w:val="auto"/>
                <w:sz w:val="24"/>
                <w:szCs w:val="24"/>
                <w:highlight w:val="none"/>
              </w:rPr>
            </w:pPr>
            <w:r>
              <w:rPr>
                <w:rFonts w:hint="eastAsia" w:ascii="宋体" w:cs="宋体"/>
                <w:b/>
                <w:color w:val="auto"/>
                <w:sz w:val="24"/>
                <w:szCs w:val="24"/>
                <w:highlight w:val="none"/>
                <w:lang w:eastAsia="zh-CN"/>
              </w:rPr>
              <w:t>投标</w:t>
            </w:r>
            <w:r>
              <w:rPr>
                <w:rFonts w:ascii="宋体" w:cs="宋体"/>
                <w:b/>
                <w:color w:val="auto"/>
                <w:sz w:val="24"/>
                <w:szCs w:val="24"/>
                <w:highlight w:val="none"/>
              </w:rPr>
              <w:t>保证金账户</w:t>
            </w:r>
          </w:p>
        </w:tc>
      </w:tr>
      <w:tr w14:paraId="0047DB0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9520" w:type="dxa"/>
            <w:vAlign w:val="top"/>
          </w:tcPr>
          <w:p w14:paraId="5358F372">
            <w:pPr>
              <w:keepNext w:val="0"/>
              <w:keepLines w:val="0"/>
              <w:suppressLineNumbers w:val="0"/>
              <w:spacing w:before="0" w:beforeAutospacing="0" w:after="0" w:afterAutospacing="0" w:line="360" w:lineRule="auto"/>
              <w:ind w:left="0" w:right="0"/>
              <w:rPr>
                <w:rFonts w:hint="default" w:asciiTheme="minorEastAsia" w:hAnsiTheme="minorEastAsia" w:cstheme="minorEastAsia"/>
                <w:b/>
                <w:color w:val="auto"/>
                <w:sz w:val="24"/>
                <w:szCs w:val="24"/>
                <w:highlight w:val="none"/>
              </w:rPr>
            </w:pPr>
            <w:r>
              <w:rPr>
                <w:rFonts w:hint="eastAsia" w:ascii="宋体" w:cs="宋体"/>
                <w:b/>
                <w:bCs/>
                <w:color w:val="auto"/>
                <w:kern w:val="0"/>
                <w:sz w:val="24"/>
                <w:highlight w:val="none"/>
              </w:rPr>
              <w:t>开户名</w:t>
            </w:r>
            <w:r>
              <w:rPr>
                <w:rFonts w:hint="default" w:asciiTheme="minorEastAsia" w:hAnsiTheme="minorEastAsia" w:cstheme="minorEastAsia"/>
                <w:b/>
                <w:color w:val="auto"/>
                <w:sz w:val="24"/>
                <w:szCs w:val="24"/>
                <w:highlight w:val="none"/>
              </w:rPr>
              <w:t>称</w:t>
            </w:r>
            <w:r>
              <w:rPr>
                <w:rFonts w:hint="eastAsia" w:ascii="宋体" w:cs="宋体"/>
                <w:b/>
                <w:bCs/>
                <w:color w:val="auto"/>
                <w:kern w:val="0"/>
                <w:sz w:val="24"/>
                <w:highlight w:val="none"/>
              </w:rPr>
              <w:t>：福建省鸿远招标有限公司</w:t>
            </w:r>
          </w:p>
        </w:tc>
      </w:tr>
      <w:tr w14:paraId="60C716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9520" w:type="dxa"/>
            <w:vAlign w:val="top"/>
          </w:tcPr>
          <w:p w14:paraId="057FA9E5">
            <w:pPr>
              <w:keepNext w:val="0"/>
              <w:keepLines w:val="0"/>
              <w:suppressLineNumbers w:val="0"/>
              <w:spacing w:before="0" w:beforeAutospacing="0" w:after="0" w:afterAutospacing="0" w:line="360" w:lineRule="auto"/>
              <w:ind w:left="0" w:right="0"/>
              <w:rPr>
                <w:rFonts w:hint="default" w:asciiTheme="minorEastAsia" w:hAnsiTheme="minorEastAsia" w:cstheme="minorEastAsia"/>
                <w:b/>
                <w:color w:val="auto"/>
                <w:sz w:val="24"/>
                <w:szCs w:val="24"/>
                <w:highlight w:val="none"/>
              </w:rPr>
            </w:pPr>
            <w:r>
              <w:rPr>
                <w:rFonts w:hint="eastAsia" w:ascii="宋体" w:cs="宋体"/>
                <w:b/>
                <w:bCs/>
                <w:color w:val="auto"/>
                <w:kern w:val="0"/>
                <w:sz w:val="24"/>
                <w:highlight w:val="none"/>
              </w:rPr>
              <w:t>账号：1407 7004 1900 0119 968</w:t>
            </w:r>
          </w:p>
        </w:tc>
      </w:tr>
      <w:tr w14:paraId="06CFD9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93" w:hRule="atLeast"/>
          <w:jc w:val="center"/>
        </w:trPr>
        <w:tc>
          <w:tcPr>
            <w:tcW w:w="9520" w:type="dxa"/>
            <w:vAlign w:val="top"/>
          </w:tcPr>
          <w:p w14:paraId="6931CFDF">
            <w:pPr>
              <w:keepNext w:val="0"/>
              <w:keepLines w:val="0"/>
              <w:suppressLineNumbers w:val="0"/>
              <w:spacing w:before="0" w:beforeAutospacing="0" w:after="0" w:afterAutospacing="0" w:line="360" w:lineRule="auto"/>
              <w:ind w:left="0" w:right="0"/>
              <w:rPr>
                <w:rFonts w:hint="default" w:asciiTheme="minorEastAsia" w:hAnsiTheme="minorEastAsia" w:cstheme="minorEastAsia"/>
                <w:b/>
                <w:color w:val="auto"/>
                <w:sz w:val="24"/>
                <w:szCs w:val="24"/>
                <w:highlight w:val="none"/>
              </w:rPr>
            </w:pPr>
            <w:r>
              <w:rPr>
                <w:rFonts w:hint="eastAsia" w:ascii="宋体" w:cs="宋体"/>
                <w:b/>
                <w:bCs/>
                <w:color w:val="auto"/>
                <w:kern w:val="0"/>
                <w:sz w:val="24"/>
                <w:highlight w:val="none"/>
              </w:rPr>
              <w:t>开户行：中国工商银行宁德东侨支行</w:t>
            </w:r>
          </w:p>
        </w:tc>
      </w:tr>
      <w:tr w14:paraId="4A76F66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2" w:hRule="atLeast"/>
          <w:jc w:val="center"/>
        </w:trPr>
        <w:tc>
          <w:tcPr>
            <w:tcW w:w="9520" w:type="dxa"/>
          </w:tcPr>
          <w:p w14:paraId="0E117DF4">
            <w:pPr>
              <w:pStyle w:val="24"/>
              <w:keepNext w:val="0"/>
              <w:keepLines w:val="0"/>
              <w:widowControl/>
              <w:suppressLineNumbers w:val="0"/>
              <w:spacing w:before="0" w:beforeAutospacing="0" w:after="0" w:afterAutospacing="0" w:line="360" w:lineRule="auto"/>
              <w:ind w:left="0" w:right="0"/>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特别提示</w:t>
            </w:r>
          </w:p>
        </w:tc>
      </w:tr>
      <w:tr w14:paraId="1B2012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76" w:hRule="atLeast"/>
          <w:jc w:val="center"/>
        </w:trPr>
        <w:tc>
          <w:tcPr>
            <w:tcW w:w="9520" w:type="dxa"/>
          </w:tcPr>
          <w:p w14:paraId="0CE5FC3C">
            <w:pPr>
              <w:pStyle w:val="24"/>
              <w:keepNext w:val="0"/>
              <w:keepLines w:val="0"/>
              <w:widowControl/>
              <w:suppressLineNumbers w:val="0"/>
              <w:spacing w:before="0" w:beforeAutospacing="0" w:after="0" w:afterAutospacing="0" w:line="360" w:lineRule="auto"/>
              <w:ind w:left="0" w:right="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1、请</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务必认真核对账户信息，将</w:t>
            </w:r>
            <w:r>
              <w:rPr>
                <w:rFonts w:asciiTheme="minorEastAsia" w:hAnsiTheme="minorEastAsia" w:cstheme="minorEastAsia"/>
                <w:b/>
                <w:color w:val="auto"/>
                <w:sz w:val="24"/>
                <w:szCs w:val="24"/>
                <w:highlight w:val="none"/>
                <w:lang w:eastAsia="zh-CN"/>
              </w:rPr>
              <w:t>投标</w:t>
            </w:r>
            <w:r>
              <w:rPr>
                <w:rFonts w:asciiTheme="minorEastAsia" w:hAnsiTheme="minorEastAsia" w:cstheme="minorEastAsia"/>
                <w:b/>
                <w:color w:val="auto"/>
                <w:sz w:val="24"/>
                <w:szCs w:val="24"/>
                <w:highlight w:val="none"/>
              </w:rPr>
              <w:t>保证金款项汇入对应账户，并自行承担因款项汇错而产生的一切后果。</w:t>
            </w:r>
          </w:p>
          <w:p w14:paraId="3DB11288">
            <w:pPr>
              <w:pStyle w:val="24"/>
              <w:keepNext w:val="0"/>
              <w:keepLines w:val="0"/>
              <w:widowControl/>
              <w:suppressLineNumbers w:val="0"/>
              <w:spacing w:before="0" w:beforeAutospacing="0" w:after="0" w:afterAutospacing="0" w:line="360" w:lineRule="auto"/>
              <w:ind w:left="0" w:right="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2、请</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在转账或电汇的凭证上务必按照以下格式注明，以便核对：“（项目编号：***、</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：***）的</w:t>
            </w:r>
            <w:r>
              <w:rPr>
                <w:rFonts w:asciiTheme="minorEastAsia" w:hAnsiTheme="minorEastAsia" w:cstheme="minorEastAsia"/>
                <w:b/>
                <w:color w:val="auto"/>
                <w:sz w:val="24"/>
                <w:szCs w:val="24"/>
                <w:highlight w:val="none"/>
                <w:lang w:eastAsia="zh-CN"/>
              </w:rPr>
              <w:t>投标</w:t>
            </w:r>
            <w:r>
              <w:rPr>
                <w:rFonts w:asciiTheme="minorEastAsia" w:hAnsiTheme="minorEastAsia" w:cstheme="minorEastAsia"/>
                <w:b/>
                <w:color w:val="auto"/>
                <w:sz w:val="24"/>
                <w:szCs w:val="24"/>
                <w:highlight w:val="none"/>
              </w:rPr>
              <w:t>保证金”。</w:t>
            </w:r>
          </w:p>
        </w:tc>
      </w:tr>
    </w:tbl>
    <w:p w14:paraId="65712BF8">
      <w:pPr>
        <w:pStyle w:val="24"/>
        <w:spacing w:line="480" w:lineRule="exact"/>
        <w:jc w:val="both"/>
        <w:rPr>
          <w:rFonts w:hint="default" w:asciiTheme="minorEastAsia" w:hAnsiTheme="minorEastAsia" w:cstheme="minorEastAsia"/>
          <w:b/>
          <w:color w:val="auto"/>
          <w:sz w:val="36"/>
          <w:highlight w:val="none"/>
        </w:rPr>
        <w:sectPr>
          <w:headerReference r:id="rId3" w:type="default"/>
          <w:footerReference r:id="rId4" w:type="default"/>
          <w:pgSz w:w="11906" w:h="16838"/>
          <w:pgMar w:top="1440" w:right="1080" w:bottom="1440" w:left="1080" w:header="851" w:footer="992" w:gutter="0"/>
          <w:pgBorders>
            <w:top w:val="none" w:sz="0" w:space="0"/>
            <w:left w:val="none" w:sz="0" w:space="0"/>
            <w:bottom w:val="none" w:sz="0" w:space="0"/>
            <w:right w:val="none" w:sz="0" w:space="0"/>
          </w:pgBorders>
          <w:pgNumType w:start="1"/>
          <w:cols w:space="425" w:num="1"/>
          <w:docGrid w:type="lines" w:linePitch="312" w:charSpace="0"/>
        </w:sectPr>
      </w:pPr>
    </w:p>
    <w:p w14:paraId="4608B18A">
      <w:pPr>
        <w:pStyle w:val="24"/>
        <w:spacing w:line="480" w:lineRule="exact"/>
        <w:jc w:val="center"/>
        <w:rPr>
          <w:rFonts w:hint="default" w:asciiTheme="minorEastAsia" w:hAnsiTheme="minorEastAsia" w:cstheme="minorEastAsia"/>
          <w:color w:val="auto"/>
          <w:sz w:val="36"/>
          <w:szCs w:val="36"/>
          <w:highlight w:val="none"/>
        </w:rPr>
      </w:pPr>
      <w:r>
        <w:rPr>
          <w:rFonts w:asciiTheme="minorEastAsia" w:hAnsiTheme="minorEastAsia" w:cstheme="minorEastAsia"/>
          <w:b/>
          <w:color w:val="auto"/>
          <w:sz w:val="36"/>
          <w:szCs w:val="36"/>
          <w:highlight w:val="none"/>
        </w:rPr>
        <w:t>第二章 投标人须知前附表</w:t>
      </w:r>
    </w:p>
    <w:p w14:paraId="0D90CEDC">
      <w:pPr>
        <w:pStyle w:val="24"/>
        <w:spacing w:line="480" w:lineRule="exact"/>
        <w:ind w:firstLine="480"/>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一、投标人须知前附表</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721"/>
        <w:gridCol w:w="1241"/>
        <w:gridCol w:w="8000"/>
      </w:tblGrid>
      <w:tr w14:paraId="3C1A2FB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8" w:hRule="atLeast"/>
          <w:jc w:val="center"/>
        </w:trPr>
        <w:tc>
          <w:tcPr>
            <w:tcW w:w="9962" w:type="dxa"/>
            <w:gridSpan w:val="3"/>
            <w:vAlign w:val="center"/>
          </w:tcPr>
          <w:p w14:paraId="6C2D226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特别提示：本表与招标文件对应章节的内容若不一致，以本表为准。</w:t>
            </w:r>
          </w:p>
        </w:tc>
      </w:tr>
      <w:tr w14:paraId="7A4E99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6157AE80">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序号</w:t>
            </w:r>
          </w:p>
        </w:tc>
        <w:tc>
          <w:tcPr>
            <w:tcW w:w="1241" w:type="dxa"/>
            <w:vAlign w:val="center"/>
          </w:tcPr>
          <w:p w14:paraId="555E7D2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招标文件</w:t>
            </w:r>
          </w:p>
          <w:p w14:paraId="143C3086">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（第三章）</w:t>
            </w:r>
          </w:p>
        </w:tc>
        <w:tc>
          <w:tcPr>
            <w:tcW w:w="8000" w:type="dxa"/>
            <w:vAlign w:val="center"/>
          </w:tcPr>
          <w:p w14:paraId="6DD04957">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编列内容</w:t>
            </w:r>
          </w:p>
        </w:tc>
      </w:tr>
      <w:tr w14:paraId="22C6383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50E3EF3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w:t>
            </w:r>
          </w:p>
        </w:tc>
        <w:tc>
          <w:tcPr>
            <w:tcW w:w="1241" w:type="dxa"/>
            <w:vAlign w:val="center"/>
          </w:tcPr>
          <w:p w14:paraId="06E84DA0">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6.1</w:t>
            </w:r>
          </w:p>
        </w:tc>
        <w:tc>
          <w:tcPr>
            <w:tcW w:w="8000" w:type="dxa"/>
            <w:vAlign w:val="center"/>
          </w:tcPr>
          <w:p w14:paraId="6D3A1947">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是否组织现场考察或召开开标前答疑会：</w:t>
            </w:r>
          </w:p>
          <w:p w14:paraId="0F70A46D">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lang w:val="en-US" w:eastAsia="zh-CN"/>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p>
          <w:p w14:paraId="5311893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lang w:eastAsia="zh-CN"/>
              </w:rPr>
            </w:pPr>
            <w:r>
              <w:rPr>
                <w:rFonts w:asciiTheme="minorEastAsia" w:hAnsiTheme="minorEastAsia" w:cstheme="minorEastAsia"/>
                <w:color w:val="auto"/>
                <w:sz w:val="24"/>
                <w:szCs w:val="24"/>
                <w:highlight w:val="none"/>
                <w:lang w:eastAsia="zh-CN"/>
              </w:rPr>
              <w:sym w:font="Wingdings" w:char="00FE"/>
            </w:r>
            <w:r>
              <w:rPr>
                <w:rFonts w:asciiTheme="minorEastAsia" w:hAnsiTheme="minorEastAsia" w:cstheme="minorEastAsia"/>
                <w:b/>
                <w:color w:val="auto"/>
                <w:sz w:val="24"/>
                <w:szCs w:val="24"/>
                <w:highlight w:val="none"/>
                <w:lang w:eastAsia="zh-CN"/>
              </w:rPr>
              <w:t>不组织，自行踏勘</w:t>
            </w:r>
          </w:p>
          <w:p w14:paraId="6BAB569F">
            <w:pPr>
              <w:pStyle w:val="24"/>
              <w:keepNext w:val="0"/>
              <w:keepLines w:val="0"/>
              <w:widowControl/>
              <w:suppressLineNumbers w:val="0"/>
              <w:spacing w:before="0" w:beforeAutospacing="0" w:after="0" w:afterAutospacing="0" w:line="360" w:lineRule="auto"/>
              <w:ind w:left="0" w:right="0"/>
              <w:rPr>
                <w:rFonts w:hint="default" w:asciiTheme="minorEastAsia" w:hAnsiTheme="minorEastAsia" w:cstheme="minorEastAsia"/>
                <w:b/>
                <w:color w:val="auto"/>
                <w:sz w:val="24"/>
                <w:szCs w:val="24"/>
                <w:highlight w:val="none"/>
                <w:lang w:eastAsia="zh-CN"/>
              </w:rPr>
            </w:pPr>
            <w:r>
              <w:rPr>
                <w:rFonts w:asciiTheme="minorEastAsia" w:hAnsiTheme="minorEastAsia" w:cstheme="minorEastAsia"/>
                <w:color w:val="auto"/>
                <w:sz w:val="24"/>
                <w:szCs w:val="24"/>
                <w:highlight w:val="none"/>
                <w:lang w:eastAsia="zh-CN"/>
              </w:rPr>
              <w:sym w:font="Wingdings" w:char="00A8"/>
            </w:r>
            <w:r>
              <w:rPr>
                <w:rFonts w:asciiTheme="minorEastAsia" w:hAnsiTheme="minorEastAsia" w:cstheme="minorEastAsia"/>
                <w:b/>
                <w:color w:val="auto"/>
                <w:sz w:val="24"/>
                <w:szCs w:val="24"/>
                <w:highlight w:val="none"/>
                <w:lang w:eastAsia="zh-CN"/>
              </w:rPr>
              <w:t>组织，踏勘时间：</w:t>
            </w:r>
          </w:p>
          <w:p w14:paraId="1B1C51E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 xml:space="preserve">        踏勘地点：</w:t>
            </w:r>
          </w:p>
        </w:tc>
      </w:tr>
      <w:tr w14:paraId="5DF03C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767E5BE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w:t>
            </w:r>
          </w:p>
        </w:tc>
        <w:tc>
          <w:tcPr>
            <w:tcW w:w="1241" w:type="dxa"/>
            <w:vAlign w:val="center"/>
          </w:tcPr>
          <w:p w14:paraId="1D1FB1B7">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10.4</w:t>
            </w:r>
          </w:p>
        </w:tc>
        <w:tc>
          <w:tcPr>
            <w:tcW w:w="8000" w:type="dxa"/>
            <w:vAlign w:val="center"/>
          </w:tcPr>
          <w:p w14:paraId="4E8C421A">
            <w:pPr>
              <w:pStyle w:val="24"/>
              <w:keepNext w:val="0"/>
              <w:keepLines w:val="0"/>
              <w:widowControl/>
              <w:suppressLineNumbers w:val="0"/>
              <w:spacing w:before="0" w:beforeAutospacing="0" w:after="0" w:afterAutospacing="0" w:line="360" w:lineRule="auto"/>
              <w:ind w:left="0" w:right="0"/>
              <w:jc w:val="both"/>
              <w:rPr>
                <w:rFonts w:asciiTheme="minorEastAsia" w:hAnsiTheme="minorEastAsia" w:cstheme="minorEastAsia"/>
                <w:b/>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p>
          <w:p w14:paraId="76F72CAF">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投标文件的份数：</w:t>
            </w:r>
          </w:p>
          <w:p w14:paraId="1C05DF9E">
            <w:pPr>
              <w:keepNext w:val="0"/>
              <w:keepLines w:val="0"/>
              <w:numPr>
                <w:ilvl w:val="255"/>
                <w:numId w:val="0"/>
              </w:numPr>
              <w:suppressLineNumbers w:val="0"/>
              <w:spacing w:before="0" w:beforeAutospacing="0" w:after="0" w:afterAutospacing="0" w:line="360" w:lineRule="auto"/>
              <w:ind w:left="0" w:right="0"/>
              <w:rPr>
                <w:rFonts w:hint="default" w:asciiTheme="minorEastAsia" w:hAnsiTheme="minorEastAsia" w:cstheme="minorEastAsia"/>
                <w:b/>
                <w:color w:val="auto"/>
                <w:kern w:val="0"/>
                <w:sz w:val="24"/>
                <w:highlight w:val="none"/>
              </w:rPr>
            </w:pPr>
            <w:r>
              <w:rPr>
                <w:rFonts w:hint="eastAsia" w:asciiTheme="minorEastAsia" w:hAnsiTheme="minorEastAsia" w:cstheme="minorEastAsia"/>
                <w:b/>
                <w:color w:val="auto"/>
                <w:kern w:val="0"/>
                <w:sz w:val="24"/>
                <w:highlight w:val="none"/>
              </w:rPr>
              <w:t>①</w:t>
            </w:r>
            <w:r>
              <w:rPr>
                <w:rFonts w:hint="eastAsia" w:asciiTheme="minorEastAsia" w:hAnsiTheme="minorEastAsia" w:cstheme="minorEastAsia"/>
                <w:b/>
                <w:bCs/>
                <w:color w:val="auto"/>
                <w:sz w:val="24"/>
                <w:highlight w:val="none"/>
              </w:rPr>
              <w:t>资格及资信证明部分</w:t>
            </w:r>
            <w:r>
              <w:rPr>
                <w:rFonts w:hint="eastAsia" w:asciiTheme="minorEastAsia" w:hAnsiTheme="minorEastAsia" w:cstheme="minorEastAsia"/>
                <w:b/>
                <w:color w:val="auto"/>
                <w:kern w:val="0"/>
                <w:sz w:val="24"/>
                <w:highlight w:val="none"/>
                <w:lang w:eastAsia="zh-Hans"/>
              </w:rPr>
              <w:t>正本</w:t>
            </w:r>
            <w:r>
              <w:rPr>
                <w:rFonts w:hint="eastAsia" w:asciiTheme="minorEastAsia" w:hAnsiTheme="minorEastAsia" w:cstheme="minorEastAsia"/>
                <w:b/>
                <w:color w:val="auto"/>
                <w:kern w:val="0"/>
                <w:sz w:val="24"/>
                <w:highlight w:val="none"/>
                <w:u w:val="single"/>
                <w:lang w:eastAsia="zh-Hans"/>
              </w:rPr>
              <w:t>1</w:t>
            </w:r>
            <w:r>
              <w:rPr>
                <w:rFonts w:hint="eastAsia" w:asciiTheme="minorEastAsia" w:hAnsiTheme="minorEastAsia" w:cstheme="minorEastAsia"/>
                <w:b/>
                <w:color w:val="auto"/>
                <w:kern w:val="0"/>
                <w:sz w:val="24"/>
                <w:highlight w:val="none"/>
                <w:lang w:eastAsia="zh-Hans"/>
              </w:rPr>
              <w:t>份、副本</w:t>
            </w:r>
            <w:r>
              <w:rPr>
                <w:rFonts w:hint="eastAsia" w:asciiTheme="minorEastAsia" w:hAnsiTheme="minorEastAsia" w:cstheme="minorEastAsia"/>
                <w:b/>
                <w:color w:val="auto"/>
                <w:kern w:val="0"/>
                <w:sz w:val="24"/>
                <w:highlight w:val="none"/>
                <w:u w:val="single"/>
                <w:lang w:val="en-US" w:eastAsia="zh-CN"/>
              </w:rPr>
              <w:t>4</w:t>
            </w:r>
            <w:r>
              <w:rPr>
                <w:rFonts w:hint="eastAsia" w:asciiTheme="minorEastAsia" w:hAnsiTheme="minorEastAsia" w:cstheme="minorEastAsia"/>
                <w:b/>
                <w:color w:val="auto"/>
                <w:kern w:val="0"/>
                <w:sz w:val="24"/>
                <w:highlight w:val="none"/>
                <w:lang w:eastAsia="zh-Hans"/>
              </w:rPr>
              <w:t>份</w:t>
            </w:r>
            <w:r>
              <w:rPr>
                <w:rFonts w:hint="eastAsia" w:asciiTheme="minorEastAsia" w:hAnsiTheme="minorEastAsia" w:cstheme="minorEastAsia"/>
                <w:b/>
                <w:color w:val="auto"/>
                <w:kern w:val="0"/>
                <w:sz w:val="24"/>
                <w:highlight w:val="none"/>
              </w:rPr>
              <w:t>；技术商务部分</w:t>
            </w:r>
            <w:r>
              <w:rPr>
                <w:rFonts w:hint="eastAsia" w:asciiTheme="minorEastAsia" w:hAnsiTheme="minorEastAsia" w:cstheme="minorEastAsia"/>
                <w:b/>
                <w:color w:val="auto"/>
                <w:kern w:val="0"/>
                <w:sz w:val="24"/>
                <w:highlight w:val="none"/>
                <w:lang w:eastAsia="zh-Hans"/>
              </w:rPr>
              <w:t>正本</w:t>
            </w:r>
            <w:r>
              <w:rPr>
                <w:rFonts w:hint="eastAsia" w:asciiTheme="minorEastAsia" w:hAnsiTheme="minorEastAsia" w:cstheme="minorEastAsia"/>
                <w:b/>
                <w:color w:val="auto"/>
                <w:kern w:val="0"/>
                <w:sz w:val="24"/>
                <w:highlight w:val="none"/>
                <w:u w:val="single"/>
                <w:lang w:eastAsia="zh-Hans"/>
              </w:rPr>
              <w:t>1</w:t>
            </w:r>
            <w:r>
              <w:rPr>
                <w:rFonts w:hint="eastAsia" w:asciiTheme="minorEastAsia" w:hAnsiTheme="minorEastAsia" w:cstheme="minorEastAsia"/>
                <w:b/>
                <w:color w:val="auto"/>
                <w:kern w:val="0"/>
                <w:sz w:val="24"/>
                <w:highlight w:val="none"/>
                <w:lang w:eastAsia="zh-Hans"/>
              </w:rPr>
              <w:t>份、副本</w:t>
            </w:r>
            <w:r>
              <w:rPr>
                <w:rFonts w:hint="eastAsia" w:asciiTheme="minorEastAsia" w:hAnsiTheme="minorEastAsia" w:cstheme="minorEastAsia"/>
                <w:b/>
                <w:color w:val="auto"/>
                <w:kern w:val="0"/>
                <w:sz w:val="24"/>
                <w:highlight w:val="none"/>
                <w:u w:val="single"/>
                <w:lang w:val="en-US" w:eastAsia="zh-CN"/>
              </w:rPr>
              <w:t>4</w:t>
            </w:r>
            <w:r>
              <w:rPr>
                <w:rFonts w:hint="eastAsia" w:asciiTheme="minorEastAsia" w:hAnsiTheme="minorEastAsia" w:cstheme="minorEastAsia"/>
                <w:b/>
                <w:color w:val="auto"/>
                <w:kern w:val="0"/>
                <w:sz w:val="24"/>
                <w:highlight w:val="none"/>
                <w:lang w:eastAsia="zh-Hans"/>
              </w:rPr>
              <w:t>份</w:t>
            </w:r>
            <w:r>
              <w:rPr>
                <w:rFonts w:hint="eastAsia" w:asciiTheme="minorEastAsia" w:hAnsiTheme="minorEastAsia" w:cstheme="minorEastAsia"/>
                <w:b/>
                <w:color w:val="auto"/>
                <w:kern w:val="0"/>
                <w:sz w:val="24"/>
                <w:highlight w:val="none"/>
              </w:rPr>
              <w:t>；报价部分</w:t>
            </w:r>
            <w:r>
              <w:rPr>
                <w:rFonts w:hint="eastAsia" w:asciiTheme="minorEastAsia" w:hAnsiTheme="minorEastAsia" w:cstheme="minorEastAsia"/>
                <w:b/>
                <w:color w:val="auto"/>
                <w:kern w:val="0"/>
                <w:sz w:val="24"/>
                <w:highlight w:val="none"/>
                <w:lang w:eastAsia="zh-Hans"/>
              </w:rPr>
              <w:t>正本</w:t>
            </w:r>
            <w:r>
              <w:rPr>
                <w:rFonts w:hint="eastAsia" w:asciiTheme="minorEastAsia" w:hAnsiTheme="minorEastAsia" w:cstheme="minorEastAsia"/>
                <w:b/>
                <w:color w:val="auto"/>
                <w:kern w:val="0"/>
                <w:sz w:val="24"/>
                <w:highlight w:val="none"/>
                <w:u w:val="single"/>
                <w:lang w:eastAsia="zh-Hans"/>
              </w:rPr>
              <w:t>1</w:t>
            </w:r>
            <w:r>
              <w:rPr>
                <w:rFonts w:hint="eastAsia" w:asciiTheme="minorEastAsia" w:hAnsiTheme="minorEastAsia" w:cstheme="minorEastAsia"/>
                <w:b/>
                <w:color w:val="auto"/>
                <w:kern w:val="0"/>
                <w:sz w:val="24"/>
                <w:highlight w:val="none"/>
                <w:lang w:eastAsia="zh-Hans"/>
              </w:rPr>
              <w:t>份、副本</w:t>
            </w:r>
            <w:r>
              <w:rPr>
                <w:rFonts w:hint="eastAsia" w:asciiTheme="minorEastAsia" w:hAnsiTheme="minorEastAsia" w:cstheme="minorEastAsia"/>
                <w:b/>
                <w:color w:val="auto"/>
                <w:kern w:val="0"/>
                <w:sz w:val="24"/>
                <w:highlight w:val="none"/>
                <w:u w:val="single"/>
                <w:lang w:val="en-US" w:eastAsia="zh-CN"/>
              </w:rPr>
              <w:t>4</w:t>
            </w:r>
            <w:r>
              <w:rPr>
                <w:rFonts w:hint="eastAsia" w:asciiTheme="minorEastAsia" w:hAnsiTheme="minorEastAsia" w:cstheme="minorEastAsia"/>
                <w:b/>
                <w:color w:val="auto"/>
                <w:kern w:val="0"/>
                <w:sz w:val="24"/>
                <w:highlight w:val="none"/>
                <w:lang w:eastAsia="zh-Hans"/>
              </w:rPr>
              <w:t>份</w:t>
            </w:r>
            <w:r>
              <w:rPr>
                <w:rFonts w:hint="eastAsia" w:asciiTheme="minorEastAsia" w:hAnsiTheme="minorEastAsia" w:cstheme="minorEastAsia"/>
                <w:b/>
                <w:color w:val="auto"/>
                <w:kern w:val="0"/>
                <w:sz w:val="24"/>
                <w:highlight w:val="none"/>
              </w:rPr>
              <w:t>；</w:t>
            </w:r>
          </w:p>
          <w:p w14:paraId="2A9420F6">
            <w:pPr>
              <w:keepNext w:val="0"/>
              <w:keepLines w:val="0"/>
              <w:numPr>
                <w:ilvl w:val="255"/>
                <w:numId w:val="0"/>
              </w:numPr>
              <w:suppressLineNumbers w:val="0"/>
              <w:spacing w:before="0" w:beforeAutospacing="0" w:after="0" w:afterAutospacing="0" w:line="360" w:lineRule="auto"/>
              <w:ind w:left="0" w:right="0"/>
              <w:rPr>
                <w:rFonts w:hint="default" w:asciiTheme="minorEastAsia" w:hAnsiTheme="minorEastAsia" w:cstheme="minorEastAsia"/>
                <w:b/>
                <w:bCs/>
                <w:color w:val="auto"/>
                <w:sz w:val="24"/>
                <w:highlight w:val="none"/>
              </w:rPr>
            </w:pPr>
            <w:r>
              <w:rPr>
                <w:rFonts w:hint="eastAsia" w:asciiTheme="minorEastAsia" w:hAnsiTheme="minorEastAsia" w:cstheme="minorEastAsia"/>
                <w:b/>
                <w:color w:val="auto"/>
                <w:kern w:val="0"/>
                <w:sz w:val="24"/>
                <w:highlight w:val="none"/>
                <w:lang w:eastAsia="zh-Hans"/>
              </w:rPr>
              <w:t>②可读介质（U盘）</w:t>
            </w:r>
            <w:r>
              <w:rPr>
                <w:rFonts w:hint="eastAsia" w:asciiTheme="minorEastAsia" w:hAnsiTheme="minorEastAsia" w:cstheme="minorEastAsia"/>
                <w:b/>
                <w:color w:val="auto"/>
                <w:kern w:val="0"/>
                <w:sz w:val="24"/>
                <w:highlight w:val="none"/>
                <w:u w:val="single"/>
                <w:lang w:eastAsia="zh-Hans"/>
              </w:rPr>
              <w:t>1</w:t>
            </w:r>
            <w:r>
              <w:rPr>
                <w:rFonts w:hint="eastAsia" w:asciiTheme="minorEastAsia" w:hAnsiTheme="minorEastAsia" w:cstheme="minorEastAsia"/>
                <w:b/>
                <w:color w:val="auto"/>
                <w:kern w:val="0"/>
                <w:sz w:val="24"/>
                <w:highlight w:val="none"/>
                <w:lang w:eastAsia="zh-Hans"/>
              </w:rPr>
              <w:t>份</w:t>
            </w:r>
            <w:r>
              <w:rPr>
                <w:rFonts w:hint="eastAsia" w:asciiTheme="minorEastAsia" w:hAnsiTheme="minorEastAsia" w:cstheme="minorEastAsia"/>
                <w:b/>
                <w:color w:val="auto"/>
                <w:kern w:val="0"/>
                <w:sz w:val="24"/>
                <w:highlight w:val="none"/>
              </w:rPr>
              <w:t>。</w:t>
            </w:r>
          </w:p>
          <w:p w14:paraId="231FDB17">
            <w:pPr>
              <w:keepNext w:val="0"/>
              <w:keepLines w:val="0"/>
              <w:numPr>
                <w:ilvl w:val="0"/>
                <w:numId w:val="2"/>
              </w:numPr>
              <w:suppressLineNumbers w:val="0"/>
              <w:spacing w:before="0" w:beforeAutospacing="0" w:after="0" w:afterAutospacing="0" w:line="360" w:lineRule="auto"/>
              <w:ind w:left="0" w:right="0"/>
              <w:rPr>
                <w:rFonts w:hint="default" w:asciiTheme="minorEastAsia" w:hAnsiTheme="minorEastAsia" w:cstheme="minorEastAsia"/>
                <w:b/>
                <w:color w:val="auto"/>
                <w:kern w:val="0"/>
                <w:sz w:val="24"/>
                <w:highlight w:val="none"/>
              </w:rPr>
            </w:pPr>
            <w:r>
              <w:rPr>
                <w:rFonts w:hint="eastAsia" w:asciiTheme="minorEastAsia" w:hAnsiTheme="minorEastAsia" w:cstheme="minorEastAsia"/>
                <w:b/>
                <w:color w:val="auto"/>
                <w:kern w:val="0"/>
                <w:sz w:val="24"/>
                <w:highlight w:val="none"/>
              </w:rPr>
              <w:t>密封及其标记的具体形式：</w:t>
            </w:r>
          </w:p>
          <w:p w14:paraId="48F12D31">
            <w:pPr>
              <w:keepNext w:val="0"/>
              <w:keepLines w:val="0"/>
              <w:numPr>
                <w:ilvl w:val="255"/>
                <w:numId w:val="0"/>
              </w:numPr>
              <w:suppressLineNumbers w:val="0"/>
              <w:spacing w:before="0" w:beforeAutospacing="0" w:after="0" w:afterAutospacing="0" w:line="360" w:lineRule="auto"/>
              <w:ind w:left="0" w:right="0"/>
              <w:rPr>
                <w:rFonts w:hint="default" w:asciiTheme="minorEastAsia" w:hAnsiTheme="minorEastAsia" w:cstheme="minorEastAsia"/>
                <w:b/>
                <w:color w:val="auto"/>
                <w:kern w:val="0"/>
                <w:sz w:val="24"/>
                <w:highlight w:val="none"/>
              </w:rPr>
            </w:pPr>
            <w:r>
              <w:rPr>
                <w:rFonts w:hint="eastAsia" w:asciiTheme="minorEastAsia" w:hAnsiTheme="minorEastAsia" w:cstheme="minorEastAsia"/>
                <w:b/>
                <w:color w:val="auto"/>
                <w:kern w:val="0"/>
                <w:sz w:val="24"/>
                <w:highlight w:val="none"/>
              </w:rPr>
              <w:t>①投标文件（包括正本、副本及可读介质）均应密封，否则其响应文件将被拒绝。</w:t>
            </w:r>
          </w:p>
          <w:p w14:paraId="6D28A02A">
            <w:pPr>
              <w:keepNext w:val="0"/>
              <w:keepLines w:val="0"/>
              <w:numPr>
                <w:ilvl w:val="255"/>
                <w:numId w:val="0"/>
              </w:numPr>
              <w:suppressLineNumbers w:val="0"/>
              <w:spacing w:before="0" w:beforeAutospacing="0" w:after="0" w:afterAutospacing="0" w:line="360" w:lineRule="auto"/>
              <w:ind w:left="0" w:right="0"/>
              <w:rPr>
                <w:rFonts w:hint="default" w:asciiTheme="minorEastAsia" w:hAnsiTheme="minorEastAsia" w:cstheme="minorEastAsia"/>
                <w:b/>
                <w:color w:val="auto"/>
                <w:kern w:val="0"/>
                <w:sz w:val="24"/>
                <w:highlight w:val="none"/>
              </w:rPr>
            </w:pPr>
            <w:r>
              <w:rPr>
                <w:rFonts w:hint="eastAsia" w:asciiTheme="minorEastAsia" w:hAnsiTheme="minorEastAsia" w:cstheme="minorEastAsia"/>
                <w:b/>
                <w:color w:val="auto"/>
                <w:kern w:val="0"/>
                <w:sz w:val="24"/>
                <w:highlight w:val="none"/>
              </w:rPr>
              <w:t>②密封的外包装应至少标记“项目名称、项目编号、所报</w:t>
            </w:r>
            <w:r>
              <w:rPr>
                <w:rFonts w:hint="eastAsia" w:asciiTheme="minorEastAsia" w:hAnsiTheme="minorEastAsia" w:cstheme="minorEastAsia"/>
                <w:b/>
                <w:color w:val="auto"/>
                <w:kern w:val="0"/>
                <w:sz w:val="24"/>
                <w:highlight w:val="none"/>
                <w:lang w:eastAsia="zh-CN"/>
              </w:rPr>
              <w:t>采购包</w:t>
            </w:r>
            <w:r>
              <w:rPr>
                <w:rFonts w:hint="eastAsia" w:asciiTheme="minorEastAsia" w:hAnsiTheme="minorEastAsia" w:cstheme="minorEastAsia"/>
                <w:b/>
                <w:color w:val="auto"/>
                <w:kern w:val="0"/>
                <w:sz w:val="24"/>
                <w:highlight w:val="none"/>
              </w:rPr>
              <w:t>、投标人的全称、正（副）本、“资格及资信证明部分”、“报价部分”和“技术商务部分”字样”等内容，否则造成投标文件误投、遗漏或提前拆封的，</w:t>
            </w:r>
            <w:r>
              <w:rPr>
                <w:rFonts w:hint="eastAsia" w:asciiTheme="minorEastAsia" w:hAnsiTheme="minorEastAsia" w:cstheme="minorEastAsia"/>
                <w:b/>
                <w:color w:val="auto"/>
                <w:sz w:val="24"/>
                <w:highlight w:val="none"/>
              </w:rPr>
              <w:t>采购代理机构</w:t>
            </w:r>
            <w:r>
              <w:rPr>
                <w:rFonts w:hint="eastAsia" w:asciiTheme="minorEastAsia" w:hAnsiTheme="minorEastAsia" w:cstheme="minorEastAsia"/>
                <w:b/>
                <w:color w:val="auto"/>
                <w:kern w:val="0"/>
                <w:sz w:val="24"/>
                <w:highlight w:val="none"/>
              </w:rPr>
              <w:t>不承担责任。</w:t>
            </w:r>
          </w:p>
          <w:p w14:paraId="193CBD50">
            <w:pPr>
              <w:keepNext w:val="0"/>
              <w:keepLines w:val="0"/>
              <w:suppressLineNumbers w:val="0"/>
              <w:spacing w:before="0" w:beforeAutospacing="0" w:after="0" w:afterAutospacing="0" w:line="360" w:lineRule="auto"/>
              <w:ind w:left="0" w:right="0"/>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kern w:val="0"/>
                <w:sz w:val="24"/>
                <w:highlight w:val="none"/>
              </w:rPr>
              <w:t>③</w:t>
            </w:r>
            <w:r>
              <w:rPr>
                <w:rFonts w:hint="eastAsia" w:asciiTheme="minorEastAsia" w:hAnsiTheme="minorEastAsia" w:cstheme="minorEastAsia"/>
                <w:b/>
                <w:bCs/>
                <w:color w:val="auto"/>
                <w:sz w:val="24"/>
                <w:highlight w:val="none"/>
              </w:rPr>
              <w:t>投标</w:t>
            </w:r>
            <w:r>
              <w:rPr>
                <w:rFonts w:hint="eastAsia" w:asciiTheme="minorEastAsia" w:hAnsiTheme="minorEastAsia" w:cstheme="minorEastAsia"/>
                <w:b/>
                <w:bCs/>
                <w:color w:val="auto"/>
                <w:sz w:val="24"/>
                <w:highlight w:val="none"/>
                <w:lang w:eastAsia="zh-Hans"/>
              </w:rPr>
              <w:t>文件正本必须用A4幅面纸张打印胶装成册（可含产品彩页），应编制封面、目录、页码，必须用胶装（为永久性、无破坏不可拆的）</w:t>
            </w:r>
            <w:r>
              <w:rPr>
                <w:rFonts w:hint="eastAsia" w:asciiTheme="minorEastAsia" w:hAnsiTheme="minorEastAsia" w:cstheme="minorEastAsia"/>
                <w:b/>
                <w:bCs/>
                <w:color w:val="auto"/>
                <w:sz w:val="24"/>
                <w:highlight w:val="none"/>
              </w:rPr>
              <w:t>装订成册，</w:t>
            </w:r>
            <w:r>
              <w:rPr>
                <w:rFonts w:hint="eastAsia" w:asciiTheme="minorEastAsia" w:hAnsiTheme="minorEastAsia" w:cstheme="minorEastAsia"/>
                <w:b/>
                <w:bCs/>
                <w:color w:val="auto"/>
                <w:sz w:val="24"/>
                <w:highlight w:val="none"/>
                <w:lang w:eastAsia="zh-Hans"/>
              </w:rPr>
              <w:t>在</w:t>
            </w:r>
            <w:r>
              <w:rPr>
                <w:rFonts w:hint="eastAsia" w:asciiTheme="minorEastAsia" w:hAnsiTheme="minorEastAsia" w:cstheme="minorEastAsia"/>
                <w:b/>
                <w:bCs/>
                <w:color w:val="auto"/>
                <w:sz w:val="24"/>
                <w:highlight w:val="none"/>
                <w:lang w:eastAsia="zh-CN"/>
              </w:rPr>
              <w:t>响应</w:t>
            </w:r>
            <w:r>
              <w:rPr>
                <w:rFonts w:hint="eastAsia" w:asciiTheme="minorEastAsia" w:hAnsiTheme="minorEastAsia" w:cstheme="minorEastAsia"/>
                <w:b/>
                <w:bCs/>
                <w:color w:val="auto"/>
                <w:sz w:val="24"/>
                <w:highlight w:val="none"/>
                <w:lang w:eastAsia="zh-Hans"/>
              </w:rPr>
              <w:t>内容中逐项盖章并加盖骑缝章（若逐页盖章的则无须加盖骑缝章）；副本可以用正本的完整复印件，</w:t>
            </w:r>
            <w:r>
              <w:rPr>
                <w:rFonts w:hint="eastAsia" w:asciiTheme="minorEastAsia" w:hAnsiTheme="minorEastAsia" w:eastAsiaTheme="minorEastAsia" w:cstheme="minorEastAsia"/>
                <w:b/>
                <w:color w:val="auto"/>
                <w:kern w:val="0"/>
                <w:sz w:val="24"/>
                <w:szCs w:val="24"/>
                <w:highlight w:val="none"/>
                <w:shd w:val="clear" w:color="auto" w:fill="auto"/>
                <w:lang w:val="en-US" w:eastAsia="zh-Hans"/>
              </w:rPr>
              <w:t>按规定胶装成册后加盖骑缝章或逐项加盖公章</w:t>
            </w:r>
            <w:r>
              <w:rPr>
                <w:rFonts w:hint="eastAsia" w:asciiTheme="minorEastAsia" w:hAnsiTheme="minorEastAsia" w:cstheme="minorEastAsia"/>
                <w:b/>
                <w:bCs/>
                <w:color w:val="auto"/>
                <w:sz w:val="24"/>
                <w:highlight w:val="none"/>
                <w:lang w:eastAsia="zh-Hans"/>
              </w:rPr>
              <w:t>，并在封面标明“正本”“副本”字样。正本与副本如有不一致，则以正本为准。</w:t>
            </w:r>
            <w:r>
              <w:rPr>
                <w:rFonts w:hint="eastAsia" w:asciiTheme="minorEastAsia" w:hAnsiTheme="minorEastAsia" w:cstheme="minorEastAsia"/>
                <w:b/>
                <w:bCs/>
                <w:color w:val="auto"/>
                <w:sz w:val="24"/>
                <w:highlight w:val="none"/>
              </w:rPr>
              <w:t>（注：投标文件资格及资信证明部分、技术商务部分出现投标报价，视为无效投标。）</w:t>
            </w:r>
          </w:p>
          <w:p w14:paraId="3BB05CA5">
            <w:pPr>
              <w:keepNext w:val="0"/>
              <w:keepLines w:val="0"/>
              <w:suppressLineNumbers w:val="0"/>
              <w:spacing w:before="0" w:beforeAutospacing="0" w:after="0" w:afterAutospacing="0" w:line="360" w:lineRule="auto"/>
              <w:ind w:left="0" w:right="0"/>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 xml:space="preserve">④投标人另制作一套投标保证金退还申请函、开标一览表原件、投标保证金凭证复印件，放在单独的信封内密封，并将此信封与投标文件报价部分一同密封。 </w:t>
            </w:r>
          </w:p>
          <w:p w14:paraId="72FB66D5">
            <w:pPr>
              <w:keepNext w:val="0"/>
              <w:keepLines w:val="0"/>
              <w:suppressLineNumbers w:val="0"/>
              <w:spacing w:before="0" w:beforeAutospacing="0" w:after="0" w:afterAutospacing="0" w:line="360" w:lineRule="auto"/>
              <w:ind w:left="0" w:right="0"/>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⑤</w:t>
            </w:r>
            <w:r>
              <w:rPr>
                <w:rFonts w:hint="eastAsia" w:asciiTheme="minorEastAsia" w:hAnsiTheme="minorEastAsia" w:cstheme="minorEastAsia"/>
                <w:b/>
                <w:color w:val="auto"/>
                <w:sz w:val="24"/>
                <w:szCs w:val="24"/>
                <w:highlight w:val="none"/>
                <w:lang w:eastAsia="zh-CN"/>
              </w:rPr>
              <w:t>投标人</w:t>
            </w:r>
            <w:r>
              <w:rPr>
                <w:rFonts w:hint="eastAsia" w:asciiTheme="minorEastAsia" w:hAnsiTheme="minorEastAsia" w:cstheme="minorEastAsia"/>
                <w:b/>
                <w:color w:val="auto"/>
                <w:sz w:val="24"/>
                <w:szCs w:val="24"/>
                <w:highlight w:val="none"/>
              </w:rPr>
              <w:t>必须将按要求加盖公章的</w:t>
            </w:r>
            <w:r>
              <w:rPr>
                <w:rFonts w:hint="eastAsia" w:asciiTheme="minorEastAsia" w:hAnsiTheme="minorEastAsia" w:cstheme="minorEastAsia"/>
                <w:b/>
                <w:color w:val="auto"/>
                <w:sz w:val="24"/>
                <w:szCs w:val="24"/>
                <w:highlight w:val="none"/>
                <w:lang w:eastAsia="zh-CN"/>
              </w:rPr>
              <w:t>投标</w:t>
            </w:r>
            <w:r>
              <w:rPr>
                <w:rFonts w:hint="eastAsia" w:asciiTheme="minorEastAsia" w:hAnsiTheme="minorEastAsia" w:cstheme="minorEastAsia"/>
                <w:b/>
                <w:color w:val="auto"/>
                <w:sz w:val="24"/>
                <w:szCs w:val="24"/>
                <w:highlight w:val="none"/>
              </w:rPr>
              <w:t>文件正本全部内容扫描成电子文件（U盘或光盘，无病毒、无损坏），U盘或光盘必须标注</w:t>
            </w:r>
            <w:r>
              <w:rPr>
                <w:rFonts w:hint="eastAsia" w:asciiTheme="minorEastAsia" w:hAnsiTheme="minorEastAsia" w:cstheme="minorEastAsia"/>
                <w:b/>
                <w:color w:val="auto"/>
                <w:sz w:val="24"/>
                <w:szCs w:val="24"/>
                <w:highlight w:val="none"/>
                <w:lang w:eastAsia="zh-CN"/>
              </w:rPr>
              <w:t>投标人</w:t>
            </w:r>
            <w:r>
              <w:rPr>
                <w:rFonts w:hint="eastAsia" w:asciiTheme="minorEastAsia" w:hAnsiTheme="minorEastAsia" w:cstheme="minorEastAsia"/>
                <w:b/>
                <w:color w:val="auto"/>
                <w:sz w:val="24"/>
                <w:szCs w:val="24"/>
                <w:highlight w:val="none"/>
              </w:rPr>
              <w:t>名称，其中所有文件不做压缩处理、不设密码，与</w:t>
            </w:r>
            <w:r>
              <w:rPr>
                <w:rFonts w:hint="eastAsia" w:asciiTheme="minorEastAsia" w:hAnsiTheme="minorEastAsia" w:cstheme="minorEastAsia"/>
                <w:b/>
                <w:color w:val="auto"/>
                <w:sz w:val="24"/>
                <w:szCs w:val="24"/>
                <w:highlight w:val="none"/>
                <w:lang w:eastAsia="zh-CN"/>
              </w:rPr>
              <w:t>投标</w:t>
            </w:r>
            <w:r>
              <w:rPr>
                <w:rFonts w:hint="eastAsia" w:asciiTheme="minorEastAsia" w:hAnsiTheme="minorEastAsia" w:cstheme="minorEastAsia"/>
                <w:b/>
                <w:color w:val="auto"/>
                <w:sz w:val="24"/>
                <w:szCs w:val="24"/>
                <w:highlight w:val="none"/>
              </w:rPr>
              <w:t>文件一同密封提交。</w:t>
            </w:r>
            <w:r>
              <w:rPr>
                <w:rFonts w:hint="eastAsia" w:asciiTheme="minorEastAsia" w:hAnsiTheme="minorEastAsia" w:cstheme="minorEastAsia"/>
                <w:b/>
                <w:i/>
                <w:iCs/>
                <w:color w:val="auto"/>
                <w:sz w:val="24"/>
                <w:szCs w:val="24"/>
                <w:highlight w:val="none"/>
              </w:rPr>
              <w:t>未按以上要求提供电子文件或电子文件出现损坏无法查看的视为无效投标。（注：当电子文件出现损坏，</w:t>
            </w:r>
            <w:r>
              <w:rPr>
                <w:rFonts w:hint="eastAsia" w:asciiTheme="minorEastAsia" w:hAnsiTheme="minorEastAsia" w:cstheme="minorEastAsia"/>
                <w:b/>
                <w:i/>
                <w:iCs/>
                <w:color w:val="auto"/>
                <w:sz w:val="24"/>
                <w:szCs w:val="24"/>
                <w:highlight w:val="none"/>
                <w:lang w:val="en-US" w:eastAsia="zh-CN"/>
              </w:rPr>
              <w:t>投标人</w:t>
            </w:r>
            <w:r>
              <w:rPr>
                <w:rFonts w:hint="eastAsia" w:asciiTheme="minorEastAsia" w:hAnsiTheme="minorEastAsia" w:cstheme="minorEastAsia"/>
                <w:b/>
                <w:i/>
                <w:iCs/>
                <w:color w:val="auto"/>
                <w:sz w:val="24"/>
                <w:szCs w:val="24"/>
                <w:highlight w:val="none"/>
              </w:rPr>
              <w:t>须在接到</w:t>
            </w:r>
            <w:r>
              <w:rPr>
                <w:rFonts w:hint="eastAsia" w:asciiTheme="minorEastAsia" w:hAnsiTheme="minorEastAsia" w:cstheme="minorEastAsia"/>
                <w:b/>
                <w:i/>
                <w:iCs/>
                <w:color w:val="auto"/>
                <w:sz w:val="24"/>
                <w:szCs w:val="24"/>
                <w:highlight w:val="none"/>
                <w:lang w:val="en-US" w:eastAsia="zh-CN"/>
              </w:rPr>
              <w:t>评标委员会</w:t>
            </w:r>
            <w:r>
              <w:rPr>
                <w:rFonts w:hint="eastAsia" w:asciiTheme="minorEastAsia" w:hAnsiTheme="minorEastAsia" w:cstheme="minorEastAsia"/>
                <w:b/>
                <w:i/>
                <w:iCs/>
                <w:color w:val="auto"/>
                <w:sz w:val="24"/>
                <w:szCs w:val="24"/>
                <w:highlight w:val="none"/>
              </w:rPr>
              <w:t>通知后，十分钟内提交该电子文件原始版，若未在规定时间内提交的，</w:t>
            </w:r>
            <w:r>
              <w:rPr>
                <w:rFonts w:hint="eastAsia" w:asciiTheme="minorEastAsia" w:hAnsiTheme="minorEastAsia" w:cstheme="minorEastAsia"/>
                <w:b/>
                <w:i/>
                <w:iCs/>
                <w:color w:val="auto"/>
                <w:sz w:val="24"/>
                <w:szCs w:val="24"/>
                <w:highlight w:val="none"/>
                <w:lang w:val="en-US" w:eastAsia="zh-CN"/>
              </w:rPr>
              <w:t>评标委员会</w:t>
            </w:r>
            <w:r>
              <w:rPr>
                <w:rFonts w:hint="eastAsia" w:asciiTheme="minorEastAsia" w:hAnsiTheme="minorEastAsia" w:cstheme="minorEastAsia"/>
                <w:b/>
                <w:i/>
                <w:iCs/>
                <w:color w:val="auto"/>
                <w:sz w:val="24"/>
                <w:szCs w:val="24"/>
                <w:highlight w:val="none"/>
              </w:rPr>
              <w:t>按未提供电子文件处理）</w:t>
            </w:r>
          </w:p>
          <w:p w14:paraId="364AB919">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lang w:eastAsia="zh-CN"/>
              </w:rPr>
            </w:pPr>
            <w:r>
              <w:rPr>
                <w:rFonts w:asciiTheme="minorEastAsia" w:hAnsiTheme="minorEastAsia" w:cstheme="minorEastAsia"/>
                <w:b/>
                <w:bCs/>
                <w:color w:val="auto"/>
                <w:sz w:val="24"/>
                <w:szCs w:val="24"/>
                <w:highlight w:val="none"/>
              </w:rPr>
              <w:t>注：投标文件分为资格及资信证明部分、报价部分、技术商务部分，投标人应将资格及资信证明部分、报价部分、技术商务部分分别用密封袋单独密封（电子文件、信封随报价部分正本一起密封），至少用三个密封袋单独密封</w:t>
            </w:r>
            <w:r>
              <w:rPr>
                <w:rFonts w:asciiTheme="minorEastAsia" w:hAnsiTheme="minorEastAsia" w:cstheme="minorEastAsia"/>
                <w:b/>
                <w:bCs/>
                <w:color w:val="auto"/>
                <w:sz w:val="24"/>
                <w:szCs w:val="24"/>
                <w:highlight w:val="none"/>
                <w:lang w:eastAsia="zh-CN"/>
              </w:rPr>
              <w:t>。</w:t>
            </w:r>
          </w:p>
        </w:tc>
      </w:tr>
      <w:tr w14:paraId="6A9BC1C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26E1CC71">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w:t>
            </w:r>
          </w:p>
        </w:tc>
        <w:tc>
          <w:tcPr>
            <w:tcW w:w="1241" w:type="dxa"/>
            <w:vAlign w:val="center"/>
          </w:tcPr>
          <w:p w14:paraId="2B8EFBFF">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10.7-（1）</w:t>
            </w:r>
          </w:p>
        </w:tc>
        <w:tc>
          <w:tcPr>
            <w:tcW w:w="8000" w:type="dxa"/>
            <w:vAlign w:val="center"/>
          </w:tcPr>
          <w:p w14:paraId="5483ED27">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是否允许中标人将本项目的非主体、非关键性工作进行分包：</w:t>
            </w:r>
          </w:p>
          <w:p w14:paraId="052161C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：不允许分包</w:t>
            </w:r>
            <w:r>
              <w:rPr>
                <w:rFonts w:asciiTheme="minorEastAsia" w:hAnsiTheme="minorEastAsia" w:cstheme="minorEastAsia"/>
                <w:b/>
                <w:color w:val="auto"/>
                <w:sz w:val="24"/>
                <w:szCs w:val="24"/>
                <w:highlight w:val="none"/>
                <w:lang w:eastAsia="zh-CN"/>
              </w:rPr>
              <w:t>。</w:t>
            </w:r>
          </w:p>
        </w:tc>
      </w:tr>
      <w:tr w14:paraId="7E2156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1D9B6E1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w:t>
            </w:r>
          </w:p>
        </w:tc>
        <w:tc>
          <w:tcPr>
            <w:tcW w:w="1241" w:type="dxa"/>
            <w:vAlign w:val="center"/>
          </w:tcPr>
          <w:p w14:paraId="0F1F1D20">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10.8-（1）</w:t>
            </w:r>
          </w:p>
        </w:tc>
        <w:tc>
          <w:tcPr>
            <w:tcW w:w="8000" w:type="dxa"/>
            <w:vAlign w:val="center"/>
          </w:tcPr>
          <w:p w14:paraId="5E43DC7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投标有效期：投标截止时间起90个日历日。</w:t>
            </w:r>
          </w:p>
        </w:tc>
      </w:tr>
      <w:tr w14:paraId="4AB6D1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1065B35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w:t>
            </w:r>
          </w:p>
        </w:tc>
        <w:tc>
          <w:tcPr>
            <w:tcW w:w="1241" w:type="dxa"/>
            <w:vAlign w:val="center"/>
          </w:tcPr>
          <w:p w14:paraId="45758168">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12.1</w:t>
            </w:r>
          </w:p>
        </w:tc>
        <w:tc>
          <w:tcPr>
            <w:tcW w:w="8000" w:type="dxa"/>
            <w:vAlign w:val="center"/>
          </w:tcPr>
          <w:p w14:paraId="0C287611">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确定中标候选人名单：</w:t>
            </w:r>
          </w:p>
          <w:p w14:paraId="4F62B73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名</w:t>
            </w:r>
          </w:p>
        </w:tc>
      </w:tr>
      <w:tr w14:paraId="2B6908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776BEE5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w:t>
            </w:r>
          </w:p>
        </w:tc>
        <w:tc>
          <w:tcPr>
            <w:tcW w:w="1241" w:type="dxa"/>
            <w:vAlign w:val="center"/>
          </w:tcPr>
          <w:p w14:paraId="020975EE">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12.2</w:t>
            </w:r>
          </w:p>
        </w:tc>
        <w:tc>
          <w:tcPr>
            <w:tcW w:w="8000" w:type="dxa"/>
            <w:vAlign w:val="center"/>
          </w:tcPr>
          <w:p w14:paraId="3F45C67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本项目中标人的确定（以</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为单位）：</w:t>
            </w:r>
          </w:p>
          <w:p w14:paraId="2C0CF4D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（1）采购人应在政府采购招投标管理办法规定的时限内确定中标人。</w:t>
            </w:r>
          </w:p>
          <w:p w14:paraId="150DF15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（2）若出现中标候选人并列情形，则按照下列方式确定中标人：</w:t>
            </w:r>
          </w:p>
          <w:p w14:paraId="1DDAFC19">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①招标文件规定的方式：</w:t>
            </w:r>
          </w:p>
          <w:p w14:paraId="2FCADDB5">
            <w:pPr>
              <w:pStyle w:val="24"/>
              <w:keepNext w:val="0"/>
              <w:keepLines w:val="0"/>
              <w:widowControl/>
              <w:suppressLineNumbers w:val="0"/>
              <w:spacing w:before="0" w:beforeAutospacing="0" w:after="0" w:afterAutospacing="0" w:line="360" w:lineRule="auto"/>
              <w:ind w:left="0" w:right="0"/>
              <w:jc w:val="both"/>
              <w:rPr>
                <w:rFonts w:asciiTheme="minorEastAsia" w:hAnsiTheme="minorEastAsia" w:cstheme="minorEastAsia"/>
                <w:b/>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采购包</w:t>
            </w:r>
            <w:r>
              <w:rPr>
                <w:rFonts w:hint="eastAsia" w:asciiTheme="minorEastAsia" w:hAnsiTheme="minorEastAsia" w:cstheme="minorEastAsia"/>
                <w:b/>
                <w:color w:val="auto"/>
                <w:sz w:val="24"/>
                <w:szCs w:val="24"/>
                <w:highlight w:val="none"/>
                <w:lang w:val="en-US" w:eastAsia="zh-CN"/>
              </w:rPr>
              <w:t>1：</w:t>
            </w:r>
            <w:r>
              <w:rPr>
                <w:rFonts w:asciiTheme="minorEastAsia" w:hAnsiTheme="minorEastAsia" w:cstheme="minorEastAsia"/>
                <w:b/>
                <w:color w:val="auto"/>
                <w:sz w:val="24"/>
                <w:szCs w:val="24"/>
                <w:highlight w:val="none"/>
              </w:rPr>
              <w:t>若有相同的最高得分，则其中投标</w:t>
            </w:r>
            <w:r>
              <w:rPr>
                <w:rFonts w:hint="eastAsia" w:asciiTheme="minorEastAsia" w:hAnsiTheme="minorEastAsia" w:cstheme="minorEastAsia"/>
                <w:b/>
                <w:color w:val="auto"/>
                <w:sz w:val="24"/>
                <w:szCs w:val="24"/>
                <w:highlight w:val="none"/>
                <w:lang w:eastAsia="zh-CN"/>
              </w:rPr>
              <w:t>报</w:t>
            </w:r>
            <w:r>
              <w:rPr>
                <w:rFonts w:asciiTheme="minorEastAsia" w:hAnsiTheme="minorEastAsia" w:cstheme="minorEastAsia"/>
                <w:b/>
                <w:color w:val="auto"/>
                <w:sz w:val="24"/>
                <w:szCs w:val="24"/>
                <w:highlight w:val="none"/>
              </w:rPr>
              <w:t>价低的投标人将被排序在前；若有相同的最高得分且投标报价相同的，则按技术部分得分从高到低顺序进行排列，技术部分得分最高的投标人将被排序在前，如技术商务指标均无法区分排序的，应优先采购列入节能清单或环保清单的产品（列入多项清单的产品优先于只列入其中一个清单的产品，认证数量多的优先于认证数量少的），若还是无法排出先后顺序的，以随机抽取方式确定</w:t>
            </w:r>
            <w:r>
              <w:rPr>
                <w:rFonts w:asciiTheme="minorEastAsia" w:hAnsiTheme="minorEastAsia" w:cstheme="minorEastAsia"/>
                <w:b/>
                <w:color w:val="auto"/>
                <w:sz w:val="24"/>
                <w:szCs w:val="24"/>
                <w:highlight w:val="none"/>
                <w:lang w:eastAsia="zh-CN"/>
              </w:rPr>
              <w:t>。</w:t>
            </w:r>
          </w:p>
          <w:p w14:paraId="3ED967E2">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②若本款第①点规定方式为“无”，则按照下列方式确定：</w:t>
            </w:r>
          </w:p>
          <w:p w14:paraId="4E4EA5FC">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随机抽取</w:t>
            </w:r>
          </w:p>
          <w:p w14:paraId="34E1B86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③若本款第①、②点规定方式均为“无”，则按照下列方式确定：随机抽取。</w:t>
            </w:r>
          </w:p>
          <w:p w14:paraId="3286FB1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（3）本项目确定的中标人家数：</w:t>
            </w:r>
          </w:p>
          <w:p w14:paraId="32DA28A8">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：1名</w:t>
            </w:r>
          </w:p>
        </w:tc>
      </w:tr>
      <w:tr w14:paraId="600050F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7712368E">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w:t>
            </w:r>
          </w:p>
        </w:tc>
        <w:tc>
          <w:tcPr>
            <w:tcW w:w="1241" w:type="dxa"/>
            <w:vAlign w:val="center"/>
          </w:tcPr>
          <w:p w14:paraId="39535DCC">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13.2</w:t>
            </w:r>
          </w:p>
        </w:tc>
        <w:tc>
          <w:tcPr>
            <w:tcW w:w="8000" w:type="dxa"/>
            <w:vAlign w:val="center"/>
          </w:tcPr>
          <w:p w14:paraId="5999A0B5">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合同签订时限：自中标通知书发出之日起30个日历日内。</w:t>
            </w:r>
          </w:p>
        </w:tc>
      </w:tr>
      <w:tr w14:paraId="2C13D4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4AF21BC1">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w:t>
            </w:r>
          </w:p>
        </w:tc>
        <w:tc>
          <w:tcPr>
            <w:tcW w:w="1241" w:type="dxa"/>
            <w:vAlign w:val="center"/>
          </w:tcPr>
          <w:p w14:paraId="1EFCAB4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15.1-（2）</w:t>
            </w:r>
          </w:p>
        </w:tc>
        <w:tc>
          <w:tcPr>
            <w:tcW w:w="8000" w:type="dxa"/>
            <w:vAlign w:val="center"/>
          </w:tcPr>
          <w:p w14:paraId="747A413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质疑函原件应采用下列方式提交：书面形式。</w:t>
            </w:r>
          </w:p>
        </w:tc>
      </w:tr>
      <w:tr w14:paraId="1B84D63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2B4EA187">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w:t>
            </w:r>
          </w:p>
        </w:tc>
        <w:tc>
          <w:tcPr>
            <w:tcW w:w="1241" w:type="dxa"/>
            <w:vAlign w:val="center"/>
          </w:tcPr>
          <w:p w14:paraId="12265A0C">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15.4</w:t>
            </w:r>
          </w:p>
        </w:tc>
        <w:tc>
          <w:tcPr>
            <w:tcW w:w="8000" w:type="dxa"/>
            <w:vAlign w:val="center"/>
          </w:tcPr>
          <w:p w14:paraId="01E6B92F">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招标文件的质疑</w:t>
            </w:r>
          </w:p>
          <w:p w14:paraId="6E8B9D39">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（1）潜在投标人可在质疑时效期间内对招标文件以书面形式提出质疑。</w:t>
            </w:r>
          </w:p>
          <w:p w14:paraId="01F9FBD0">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（2）质疑时效期间：应在依法获取招标文件之日起7个工作日内</w:t>
            </w:r>
            <w:r>
              <w:rPr>
                <w:rFonts w:asciiTheme="minorEastAsia" w:hAnsiTheme="minorEastAsia" w:cstheme="minorEastAsia"/>
                <w:b/>
                <w:color w:val="auto"/>
                <w:sz w:val="24"/>
                <w:szCs w:val="24"/>
                <w:highlight w:val="none"/>
              </w:rPr>
              <w:t>向</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提出，依法获取招标文件的时间</w:t>
            </w:r>
            <w:r>
              <w:rPr>
                <w:rFonts w:asciiTheme="minorEastAsia" w:hAnsiTheme="minorEastAsia" w:cstheme="minorEastAsia"/>
                <w:b/>
                <w:color w:val="auto"/>
                <w:sz w:val="24"/>
                <w:szCs w:val="24"/>
                <w:highlight w:val="none"/>
                <w:lang w:eastAsia="zh-CN"/>
              </w:rPr>
              <w:t>为投标人完成报名获取投标文件之日起计算</w:t>
            </w:r>
            <w:r>
              <w:rPr>
                <w:rFonts w:asciiTheme="minorEastAsia" w:hAnsiTheme="minorEastAsia" w:cstheme="minorEastAsia"/>
                <w:b/>
                <w:color w:val="auto"/>
                <w:sz w:val="24"/>
                <w:szCs w:val="24"/>
                <w:highlight w:val="none"/>
              </w:rPr>
              <w:t>。</w:t>
            </w:r>
          </w:p>
          <w:p w14:paraId="795F9719">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※除上述规定外，对招标文件提出的质疑还应符合招标文件第三章第15.1条的有关规定。</w:t>
            </w:r>
          </w:p>
        </w:tc>
      </w:tr>
      <w:tr w14:paraId="19D527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7205C690">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w:t>
            </w:r>
          </w:p>
        </w:tc>
        <w:tc>
          <w:tcPr>
            <w:tcW w:w="1241" w:type="dxa"/>
            <w:vAlign w:val="center"/>
          </w:tcPr>
          <w:p w14:paraId="7320E10C">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16.1</w:t>
            </w:r>
          </w:p>
        </w:tc>
        <w:tc>
          <w:tcPr>
            <w:tcW w:w="8000" w:type="dxa"/>
            <w:vAlign w:val="center"/>
          </w:tcPr>
          <w:p w14:paraId="6A4BA74A">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监督管理部门：</w:t>
            </w:r>
            <w:r>
              <w:rPr>
                <w:rFonts w:hint="eastAsia" w:asciiTheme="minorEastAsia" w:hAnsiTheme="minorEastAsia" w:cstheme="minorEastAsia"/>
                <w:b/>
                <w:color w:val="auto"/>
                <w:sz w:val="24"/>
                <w:szCs w:val="24"/>
                <w:highlight w:val="none"/>
                <w:lang w:eastAsia="zh-CN"/>
              </w:rPr>
              <w:t>宁德市宁港水陆联运有限公司</w:t>
            </w:r>
          </w:p>
        </w:tc>
      </w:tr>
      <w:tr w14:paraId="636EC1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38618C5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w:t>
            </w:r>
          </w:p>
        </w:tc>
        <w:tc>
          <w:tcPr>
            <w:tcW w:w="1241" w:type="dxa"/>
            <w:vAlign w:val="center"/>
          </w:tcPr>
          <w:p w14:paraId="658C934B">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18.1</w:t>
            </w:r>
          </w:p>
        </w:tc>
        <w:tc>
          <w:tcPr>
            <w:tcW w:w="8000" w:type="dxa"/>
            <w:vAlign w:val="center"/>
          </w:tcPr>
          <w:p w14:paraId="37115EB2">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政府采购信息发布媒体（以下简称：“指定媒体”）：</w:t>
            </w:r>
          </w:p>
          <w:p w14:paraId="1FB83DCC">
            <w:pPr>
              <w:pStyle w:val="24"/>
              <w:keepNext w:val="0"/>
              <w:keepLines w:val="0"/>
              <w:widowControl/>
              <w:numPr>
                <w:ilvl w:val="0"/>
                <w:numId w:val="0"/>
              </w:numPr>
              <w:suppressLineNumbers w:val="0"/>
              <w:spacing w:before="0" w:beforeAutospacing="0" w:after="0" w:afterAutospacing="0" w:line="360" w:lineRule="auto"/>
              <w:ind w:left="0" w:right="0"/>
              <w:jc w:val="both"/>
              <w:rPr>
                <w:rFonts w:hint="eastAsia" w:asciiTheme="minorEastAsia" w:hAnsiTheme="minorEastAsia" w:cstheme="minorEastAsia"/>
                <w:b/>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1</w:t>
            </w:r>
            <w:r>
              <w:rPr>
                <w:rFonts w:hint="eastAsia" w:asciiTheme="minorEastAsia" w:hAnsiTheme="minorEastAsia" w:cstheme="minorEastAsia"/>
                <w:b/>
                <w:color w:val="auto"/>
                <w:sz w:val="24"/>
                <w:szCs w:val="24"/>
                <w:highlight w:val="none"/>
                <w:lang w:eastAsia="zh-CN"/>
              </w:rPr>
              <w:t>）</w:t>
            </w:r>
            <w:r>
              <w:rPr>
                <w:rFonts w:hint="eastAsia" w:ascii="宋体" w:hAnsi="宋体" w:eastAsia="宋体" w:cs="宋体"/>
                <w:b/>
                <w:bCs/>
                <w:color w:val="auto"/>
                <w:sz w:val="24"/>
                <w:szCs w:val="24"/>
                <w:highlight w:val="none"/>
                <w:lang w:eastAsia="zh-CN"/>
              </w:rPr>
              <w:t>福建省国资采购平台</w:t>
            </w:r>
            <w:r>
              <w:rPr>
                <w:rFonts w:hint="eastAsia" w:ascii="宋体" w:hAnsi="宋体" w:eastAsia="宋体" w:cs="宋体"/>
                <w:b/>
                <w:color w:val="auto"/>
                <w:sz w:val="24"/>
                <w:szCs w:val="24"/>
                <w:highlight w:val="none"/>
              </w:rPr>
              <w:t>，网址https://ygcg.fjcqjy.com/。</w:t>
            </w:r>
          </w:p>
          <w:p w14:paraId="065F9289">
            <w:pPr>
              <w:pStyle w:val="24"/>
              <w:keepNext w:val="0"/>
              <w:keepLines w:val="0"/>
              <w:widowControl/>
              <w:numPr>
                <w:ilvl w:val="0"/>
                <w:numId w:val="0"/>
              </w:numPr>
              <w:suppressLineNumbers w:val="0"/>
              <w:spacing w:before="0" w:beforeAutospacing="0" w:after="0" w:afterAutospacing="0" w:line="360" w:lineRule="auto"/>
              <w:ind w:left="0" w:right="0"/>
              <w:jc w:val="both"/>
              <w:rPr>
                <w:rFonts w:hint="eastAsia" w:asciiTheme="minorEastAsia" w:hAnsiTheme="minorEastAsia" w:cstheme="minorEastAsia"/>
                <w:b/>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2</w:t>
            </w:r>
            <w:r>
              <w:rPr>
                <w:rFonts w:hint="eastAsia" w:asciiTheme="minorEastAsia" w:hAnsiTheme="minorEastAsia" w:cstheme="minorEastAsia"/>
                <w:b/>
                <w:color w:val="auto"/>
                <w:sz w:val="24"/>
                <w:szCs w:val="24"/>
                <w:highlight w:val="none"/>
                <w:lang w:eastAsia="zh-CN"/>
              </w:rPr>
              <w:t>）宁德市有信产权交易服务有限公司网站，网址</w:t>
            </w:r>
            <w:r>
              <w:rPr>
                <w:rFonts w:hint="eastAsia" w:asciiTheme="minorEastAsia" w:hAnsiTheme="minorEastAsia" w:cstheme="minorEastAsia"/>
                <w:b/>
                <w:color w:val="auto"/>
                <w:sz w:val="24"/>
                <w:szCs w:val="24"/>
                <w:highlight w:val="none"/>
                <w:u w:val="none"/>
                <w:lang w:eastAsia="zh-CN"/>
              </w:rPr>
              <w:t>http://www.</w:t>
            </w:r>
            <w:r>
              <w:rPr>
                <w:rFonts w:hint="eastAsia" w:asciiTheme="minorEastAsia" w:hAnsiTheme="minorEastAsia" w:cstheme="minorEastAsia"/>
                <w:b/>
                <w:color w:val="auto"/>
                <w:sz w:val="24"/>
                <w:szCs w:val="24"/>
                <w:highlight w:val="none"/>
                <w:lang w:val="en-US" w:eastAsia="zh-CN"/>
              </w:rPr>
              <w:t xml:space="preserve"> </w:t>
            </w:r>
            <w:r>
              <w:rPr>
                <w:rFonts w:hint="eastAsia" w:asciiTheme="minorEastAsia" w:hAnsiTheme="minorEastAsia" w:cstheme="minorEastAsia"/>
                <w:b/>
                <w:color w:val="auto"/>
                <w:sz w:val="24"/>
                <w:szCs w:val="24"/>
                <w:highlight w:val="none"/>
                <w:lang w:eastAsia="zh-CN"/>
              </w:rPr>
              <w:t>ndcqjy.com/cn/</w:t>
            </w:r>
            <w:r>
              <w:rPr>
                <w:rFonts w:hint="eastAsia" w:asciiTheme="minorEastAsia" w:hAnsiTheme="minorEastAsia" w:cstheme="minorEastAsia"/>
                <w:b/>
                <w:color w:val="auto"/>
                <w:sz w:val="24"/>
                <w:szCs w:val="24"/>
                <w:highlight w:val="none"/>
                <w:lang w:val="en-US" w:eastAsia="zh-CN"/>
              </w:rPr>
              <w:t xml:space="preserve"> </w:t>
            </w:r>
            <w:r>
              <w:rPr>
                <w:rFonts w:hint="eastAsia" w:asciiTheme="minorEastAsia" w:hAnsiTheme="minorEastAsia" w:cstheme="minorEastAsia"/>
                <w:b/>
                <w:color w:val="auto"/>
                <w:sz w:val="24"/>
                <w:szCs w:val="24"/>
                <w:highlight w:val="none"/>
                <w:lang w:eastAsia="zh-CN"/>
              </w:rPr>
              <w:t>index。</w:t>
            </w:r>
          </w:p>
          <w:p w14:paraId="43A5F52A">
            <w:pPr>
              <w:pStyle w:val="24"/>
              <w:keepNext w:val="0"/>
              <w:keepLines w:val="0"/>
              <w:widowControl/>
              <w:numPr>
                <w:ilvl w:val="0"/>
                <w:numId w:val="0"/>
              </w:numPr>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3</w:t>
            </w:r>
            <w:r>
              <w:rPr>
                <w:rFonts w:hint="eastAsia" w:asciiTheme="minorEastAsia" w:hAnsiTheme="minorEastAsia" w:cstheme="minorEastAsia"/>
                <w:b/>
                <w:color w:val="auto"/>
                <w:sz w:val="24"/>
                <w:szCs w:val="24"/>
                <w:highlight w:val="none"/>
                <w:lang w:eastAsia="zh-CN"/>
              </w:rPr>
              <w:t>）福建省鸿远招标有限公司官网，网址http://</w:t>
            </w:r>
            <w:r>
              <w:rPr>
                <w:rFonts w:hint="eastAsia" w:asciiTheme="minorEastAsia" w:hAnsiTheme="minorEastAsia" w:cstheme="minorEastAsia"/>
                <w:b/>
                <w:color w:val="auto"/>
                <w:sz w:val="24"/>
                <w:szCs w:val="24"/>
                <w:highlight w:val="none"/>
                <w:lang w:val="en-US" w:eastAsia="zh-CN"/>
              </w:rPr>
              <w:t>fjshyzb</w:t>
            </w:r>
            <w:r>
              <w:rPr>
                <w:rFonts w:hint="eastAsia" w:asciiTheme="minorEastAsia" w:hAnsiTheme="minorEastAsia" w:cstheme="minorEastAsia"/>
                <w:b/>
                <w:color w:val="auto"/>
                <w:sz w:val="24"/>
                <w:szCs w:val="24"/>
                <w:highlight w:val="none"/>
                <w:lang w:eastAsia="zh-CN"/>
              </w:rPr>
              <w:t>.com。</w:t>
            </w:r>
          </w:p>
          <w:p w14:paraId="34D68422">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※若出现上述指定媒体信息不一致情形，应以</w:t>
            </w:r>
            <w:r>
              <w:rPr>
                <w:rFonts w:hint="eastAsia" w:asciiTheme="minorEastAsia" w:hAnsiTheme="minorEastAsia" w:cstheme="minorEastAsia"/>
                <w:b/>
                <w:color w:val="auto"/>
                <w:sz w:val="24"/>
                <w:szCs w:val="24"/>
                <w:highlight w:val="none"/>
                <w:lang w:eastAsia="zh-CN"/>
              </w:rPr>
              <w:t>福建省国资采购平台</w:t>
            </w:r>
            <w:r>
              <w:rPr>
                <w:rFonts w:asciiTheme="minorEastAsia" w:hAnsiTheme="minorEastAsia" w:cstheme="minorEastAsia"/>
                <w:b/>
                <w:color w:val="auto"/>
                <w:sz w:val="24"/>
                <w:szCs w:val="24"/>
                <w:highlight w:val="none"/>
              </w:rPr>
              <w:t>发布的为准。</w:t>
            </w:r>
          </w:p>
        </w:tc>
      </w:tr>
      <w:tr w14:paraId="52B0E7E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681F9121">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lang w:eastAsia="zh-CN"/>
              </w:rPr>
            </w:pPr>
            <w:r>
              <w:rPr>
                <w:rFonts w:asciiTheme="minorEastAsia" w:hAnsiTheme="minorEastAsia" w:cstheme="minorEastAsia"/>
                <w:b/>
                <w:color w:val="auto"/>
                <w:sz w:val="24"/>
                <w:szCs w:val="24"/>
                <w:highlight w:val="none"/>
                <w:lang w:eastAsia="zh-CN"/>
              </w:rPr>
              <w:t>12</w:t>
            </w:r>
          </w:p>
        </w:tc>
        <w:tc>
          <w:tcPr>
            <w:tcW w:w="1241" w:type="dxa"/>
            <w:vAlign w:val="center"/>
          </w:tcPr>
          <w:p w14:paraId="6EAB0409">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b/>
                <w:color w:val="auto"/>
                <w:sz w:val="24"/>
                <w:szCs w:val="24"/>
                <w:highlight w:val="none"/>
                <w:lang w:eastAsia="zh-CN"/>
              </w:rPr>
            </w:pPr>
            <w:r>
              <w:rPr>
                <w:rFonts w:asciiTheme="minorEastAsia" w:hAnsiTheme="minorEastAsia" w:cstheme="minorEastAsia"/>
                <w:b/>
                <w:color w:val="auto"/>
                <w:sz w:val="24"/>
                <w:szCs w:val="24"/>
                <w:highlight w:val="none"/>
                <w:lang w:eastAsia="zh-CN"/>
              </w:rPr>
              <w:t>/</w:t>
            </w:r>
          </w:p>
        </w:tc>
        <w:tc>
          <w:tcPr>
            <w:tcW w:w="8000" w:type="dxa"/>
            <w:vAlign w:val="center"/>
          </w:tcPr>
          <w:p w14:paraId="5283E975">
            <w:pPr>
              <w:pStyle w:val="24"/>
              <w:keepNext w:val="0"/>
              <w:keepLines w:val="0"/>
              <w:widowControl/>
              <w:suppressLineNumbers w:val="0"/>
              <w:spacing w:before="0" w:beforeAutospacing="0" w:after="0" w:afterAutospacing="0" w:line="360" w:lineRule="auto"/>
              <w:ind w:left="0" w:right="0"/>
              <w:jc w:val="both"/>
              <w:rPr>
                <w:rFonts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履约保证金：</w:t>
            </w:r>
          </w:p>
          <w:p w14:paraId="1DB87BBE">
            <w:pPr>
              <w:pStyle w:val="24"/>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color w:val="auto"/>
                <w:spacing w:val="0"/>
                <w:kern w:val="0"/>
                <w:sz w:val="24"/>
                <w:szCs w:val="24"/>
                <w:highlight w:val="none"/>
                <w:u w:val="none"/>
                <w:lang w:val="en-US" w:eastAsia="zh-CN" w:bidi="ar"/>
              </w:rPr>
            </w:pPr>
            <w:r>
              <w:rPr>
                <w:rFonts w:hint="eastAsia" w:ascii="宋体" w:hAnsi="宋体" w:eastAsia="宋体" w:cs="宋体"/>
                <w:b/>
                <w:bCs/>
                <w:color w:val="auto"/>
                <w:spacing w:val="0"/>
                <w:kern w:val="0"/>
                <w:sz w:val="24"/>
                <w:szCs w:val="24"/>
                <w:highlight w:val="none"/>
                <w:u w:val="none"/>
                <w:lang w:val="en-US" w:eastAsia="zh-CN" w:bidi="ar"/>
              </w:rPr>
              <w:t>采购包1：缴纳</w:t>
            </w:r>
          </w:p>
          <w:p w14:paraId="5E5B0788">
            <w:pPr>
              <w:pStyle w:val="24"/>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color w:val="auto"/>
                <w:spacing w:val="0"/>
                <w:kern w:val="0"/>
                <w:sz w:val="24"/>
                <w:szCs w:val="24"/>
                <w:highlight w:val="none"/>
                <w:u w:val="single"/>
                <w:lang w:val="en-US" w:eastAsia="zh-CN" w:bidi="ar"/>
              </w:rPr>
            </w:pPr>
            <w:r>
              <w:rPr>
                <w:rFonts w:ascii="宋体" w:hAnsi="宋体" w:eastAsia="宋体" w:cs="宋体"/>
                <w:b/>
                <w:bCs/>
                <w:color w:val="auto"/>
                <w:spacing w:val="0"/>
                <w:kern w:val="0"/>
                <w:sz w:val="24"/>
                <w:szCs w:val="24"/>
                <w:highlight w:val="none"/>
                <w:lang w:val="en-US" w:eastAsia="zh-CN" w:bidi="ar"/>
              </w:rPr>
              <w:t>本项目的履约保证金为</w:t>
            </w:r>
            <w:r>
              <w:rPr>
                <w:rFonts w:hint="eastAsia" w:ascii="宋体" w:hAnsi="宋体" w:eastAsia="宋体" w:cs="宋体"/>
                <w:b/>
                <w:bCs/>
                <w:color w:val="auto"/>
                <w:spacing w:val="0"/>
                <w:kern w:val="0"/>
                <w:sz w:val="24"/>
                <w:szCs w:val="24"/>
                <w:highlight w:val="none"/>
                <w:u w:val="single"/>
                <w:lang w:val="en-US" w:eastAsia="zh-CN" w:bidi="ar"/>
              </w:rPr>
              <w:t>合同金额</w:t>
            </w:r>
            <w:r>
              <w:rPr>
                <w:rFonts w:ascii="宋体" w:hAnsi="宋体" w:eastAsia="宋体" w:cs="宋体"/>
                <w:b/>
                <w:bCs/>
                <w:color w:val="auto"/>
                <w:spacing w:val="0"/>
                <w:kern w:val="0"/>
                <w:sz w:val="24"/>
                <w:szCs w:val="24"/>
                <w:highlight w:val="none"/>
                <w:u w:val="single"/>
                <w:lang w:val="en-US" w:eastAsia="zh-CN" w:bidi="ar"/>
              </w:rPr>
              <w:t>的</w:t>
            </w:r>
            <w:r>
              <w:rPr>
                <w:rFonts w:hint="eastAsia" w:ascii="宋体" w:hAnsi="宋体" w:eastAsia="宋体" w:cs="宋体"/>
                <w:b/>
                <w:bCs/>
                <w:color w:val="auto"/>
                <w:spacing w:val="0"/>
                <w:kern w:val="0"/>
                <w:sz w:val="24"/>
                <w:szCs w:val="24"/>
                <w:highlight w:val="none"/>
                <w:u w:val="single"/>
                <w:lang w:val="en-US" w:eastAsia="zh-CN" w:bidi="ar"/>
              </w:rPr>
              <w:t>10</w:t>
            </w:r>
            <w:r>
              <w:rPr>
                <w:rFonts w:ascii="宋体" w:hAnsi="宋体" w:eastAsia="宋体" w:cs="宋体"/>
                <w:b/>
                <w:bCs/>
                <w:color w:val="auto"/>
                <w:spacing w:val="0"/>
                <w:kern w:val="0"/>
                <w:sz w:val="24"/>
                <w:szCs w:val="24"/>
                <w:highlight w:val="none"/>
                <w:u w:val="single"/>
                <w:lang w:val="en-US" w:eastAsia="zh-CN" w:bidi="ar"/>
              </w:rPr>
              <w:t>%</w:t>
            </w:r>
            <w:r>
              <w:rPr>
                <w:rFonts w:ascii="宋体" w:hAnsi="宋体" w:eastAsia="宋体" w:cs="宋体"/>
                <w:b/>
                <w:bCs/>
                <w:color w:val="auto"/>
                <w:spacing w:val="0"/>
                <w:kern w:val="0"/>
                <w:sz w:val="24"/>
                <w:szCs w:val="24"/>
                <w:highlight w:val="none"/>
                <w:lang w:val="en-US" w:eastAsia="zh-CN" w:bidi="ar"/>
              </w:rPr>
              <w:t>，提交方式：</w:t>
            </w:r>
            <w:r>
              <w:rPr>
                <w:rFonts w:hint="eastAsia" w:ascii="宋体" w:hAnsi="宋体" w:eastAsia="宋体" w:cs="宋体"/>
                <w:b/>
                <w:bCs/>
                <w:color w:val="auto"/>
                <w:spacing w:val="0"/>
                <w:kern w:val="0"/>
                <w:sz w:val="24"/>
                <w:szCs w:val="24"/>
                <w:highlight w:val="none"/>
                <w:u w:val="single"/>
                <w:lang w:val="en-US" w:eastAsia="zh-CN" w:bidi="ar"/>
              </w:rPr>
              <w:t>银行保函、电汇、汇票和转账支票</w:t>
            </w:r>
            <w:r>
              <w:rPr>
                <w:rFonts w:ascii="宋体" w:hAnsi="宋体" w:eastAsia="宋体" w:cs="宋体"/>
                <w:b/>
                <w:bCs/>
                <w:color w:val="auto"/>
                <w:spacing w:val="0"/>
                <w:kern w:val="0"/>
                <w:sz w:val="24"/>
                <w:szCs w:val="24"/>
                <w:highlight w:val="none"/>
                <w:lang w:val="en-US" w:eastAsia="zh-CN" w:bidi="ar"/>
              </w:rPr>
              <w:t>，提交时间：</w:t>
            </w:r>
            <w:r>
              <w:rPr>
                <w:rFonts w:hint="eastAsia" w:ascii="宋体" w:hAnsi="宋体" w:eastAsia="宋体" w:cs="宋体"/>
                <w:b/>
                <w:bCs/>
                <w:color w:val="auto"/>
                <w:spacing w:val="0"/>
                <w:kern w:val="0"/>
                <w:sz w:val="24"/>
                <w:szCs w:val="24"/>
                <w:highlight w:val="none"/>
                <w:u w:val="single"/>
                <w:lang w:val="en-US" w:eastAsia="zh-CN" w:bidi="ar"/>
              </w:rPr>
              <w:t>合同签订前</w:t>
            </w:r>
            <w:r>
              <w:rPr>
                <w:rFonts w:ascii="宋体" w:hAnsi="宋体" w:eastAsia="宋体" w:cs="宋体"/>
                <w:b/>
                <w:bCs/>
                <w:color w:val="auto"/>
                <w:spacing w:val="0"/>
                <w:kern w:val="0"/>
                <w:sz w:val="24"/>
                <w:szCs w:val="24"/>
                <w:highlight w:val="none"/>
                <w:lang w:val="en-US" w:eastAsia="zh-CN" w:bidi="ar"/>
              </w:rPr>
              <w:t>，退还方式：</w:t>
            </w:r>
            <w:r>
              <w:rPr>
                <w:rFonts w:hint="eastAsia" w:ascii="宋体" w:hAnsi="宋体" w:eastAsia="宋体" w:cs="宋体"/>
                <w:b/>
                <w:bCs/>
                <w:color w:val="auto"/>
                <w:spacing w:val="0"/>
                <w:kern w:val="0"/>
                <w:sz w:val="24"/>
                <w:szCs w:val="24"/>
                <w:highlight w:val="none"/>
                <w:u w:val="single"/>
                <w:lang w:val="en-US" w:eastAsia="zh-CN" w:bidi="ar"/>
              </w:rPr>
              <w:t>待项目终验完成后，采购人于30个日历日内予以原额无息退还中标人。</w:t>
            </w:r>
          </w:p>
          <w:p w14:paraId="6399A54D">
            <w:pPr>
              <w:pStyle w:val="24"/>
              <w:keepNext w:val="0"/>
              <w:keepLines w:val="0"/>
              <w:widowControl/>
              <w:suppressLineNumbers w:val="0"/>
              <w:spacing w:before="0" w:beforeAutospacing="0" w:after="0" w:afterAutospacing="0" w:line="360" w:lineRule="auto"/>
              <w:ind w:left="0" w:right="0"/>
              <w:jc w:val="both"/>
              <w:rPr>
                <w:rFonts w:hint="default" w:ascii="宋体" w:hAnsi="宋体" w:eastAsia="宋体" w:cs="宋体"/>
                <w:b/>
                <w:bCs/>
                <w:color w:val="auto"/>
                <w:spacing w:val="0"/>
                <w:kern w:val="0"/>
                <w:sz w:val="24"/>
                <w:szCs w:val="24"/>
                <w:highlight w:val="none"/>
                <w:u w:val="none"/>
                <w:lang w:val="en-US" w:eastAsia="zh-CN" w:bidi="ar"/>
              </w:rPr>
            </w:pPr>
          </w:p>
        </w:tc>
      </w:tr>
      <w:tr w14:paraId="087A33E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721" w:type="dxa"/>
            <w:vAlign w:val="center"/>
          </w:tcPr>
          <w:p w14:paraId="7911FF1F">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1</w:t>
            </w:r>
            <w:r>
              <w:rPr>
                <w:rFonts w:asciiTheme="minorEastAsia" w:hAnsiTheme="minorEastAsia" w:cstheme="minorEastAsia"/>
                <w:b/>
                <w:color w:val="auto"/>
                <w:sz w:val="24"/>
                <w:szCs w:val="24"/>
                <w:highlight w:val="none"/>
                <w:lang w:eastAsia="zh-CN"/>
              </w:rPr>
              <w:t>3</w:t>
            </w:r>
          </w:p>
        </w:tc>
        <w:tc>
          <w:tcPr>
            <w:tcW w:w="1241" w:type="dxa"/>
            <w:vAlign w:val="center"/>
          </w:tcPr>
          <w:p w14:paraId="4EDD5004">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19</w:t>
            </w:r>
          </w:p>
        </w:tc>
        <w:tc>
          <w:tcPr>
            <w:tcW w:w="8000" w:type="dxa"/>
            <w:vAlign w:val="center"/>
          </w:tcPr>
          <w:p w14:paraId="287FE668">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其他事项：</w:t>
            </w:r>
          </w:p>
          <w:p w14:paraId="0C6FD656">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0000FF"/>
                <w:sz w:val="24"/>
                <w:szCs w:val="24"/>
                <w:highlight w:val="none"/>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1</w:t>
            </w:r>
            <w:r>
              <w:rPr>
                <w:rFonts w:hint="eastAsia"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本项目代理服务费：本项目招标代理服务费按照以下标准进行差额定率累进法计算：①</w:t>
            </w:r>
            <w:r>
              <w:rPr>
                <w:rFonts w:hint="eastAsia" w:asciiTheme="minorEastAsia" w:hAnsiTheme="minorEastAsia" w:cstheme="minorEastAsia"/>
                <w:b/>
                <w:color w:val="auto"/>
                <w:sz w:val="24"/>
                <w:szCs w:val="24"/>
                <w:highlight w:val="none"/>
                <w:lang w:eastAsia="zh-CN"/>
              </w:rPr>
              <w:t>预算</w:t>
            </w:r>
            <w:r>
              <w:rPr>
                <w:rFonts w:asciiTheme="minorEastAsia" w:hAnsiTheme="minorEastAsia" w:cstheme="minorEastAsia"/>
                <w:b/>
                <w:color w:val="auto"/>
                <w:sz w:val="24"/>
                <w:szCs w:val="24"/>
                <w:highlight w:val="none"/>
              </w:rPr>
              <w:t>金额在100万元人民币以内的：按</w:t>
            </w:r>
            <w:r>
              <w:rPr>
                <w:rFonts w:hint="eastAsia" w:asciiTheme="minorEastAsia" w:hAnsiTheme="minorEastAsia" w:cstheme="minorEastAsia"/>
                <w:b/>
                <w:color w:val="auto"/>
                <w:sz w:val="24"/>
                <w:szCs w:val="24"/>
                <w:highlight w:val="none"/>
                <w:lang w:eastAsia="zh-CN"/>
              </w:rPr>
              <w:t>预算</w:t>
            </w:r>
            <w:r>
              <w:rPr>
                <w:rFonts w:asciiTheme="minorEastAsia" w:hAnsiTheme="minorEastAsia" w:cstheme="minorEastAsia"/>
                <w:b/>
                <w:color w:val="auto"/>
                <w:sz w:val="24"/>
                <w:szCs w:val="24"/>
                <w:highlight w:val="none"/>
              </w:rPr>
              <w:t>金额的1.5%计取；</w:t>
            </w:r>
            <w:r>
              <w:rPr>
                <w:rFonts w:hint="eastAsia" w:asciiTheme="minorEastAsia" w:hAnsiTheme="minorEastAsia" w:cstheme="minorEastAsia"/>
                <w:b/>
                <w:color w:val="auto"/>
                <w:sz w:val="24"/>
                <w:szCs w:val="24"/>
                <w:highlight w:val="none"/>
                <w:lang w:eastAsia="zh-CN"/>
              </w:rPr>
              <w:t>预算</w:t>
            </w:r>
            <w:r>
              <w:rPr>
                <w:rFonts w:asciiTheme="minorEastAsia" w:hAnsiTheme="minorEastAsia" w:cstheme="minorEastAsia"/>
                <w:b/>
                <w:color w:val="auto"/>
                <w:sz w:val="24"/>
                <w:szCs w:val="24"/>
                <w:highlight w:val="none"/>
              </w:rPr>
              <w:t>金额超过100万的：其中100万按</w:t>
            </w:r>
            <w:r>
              <w:rPr>
                <w:rFonts w:hint="eastAsia" w:asciiTheme="minorEastAsia" w:hAnsiTheme="minorEastAsia" w:cstheme="minorEastAsia"/>
                <w:b/>
                <w:color w:val="auto"/>
                <w:sz w:val="24"/>
                <w:szCs w:val="24"/>
                <w:highlight w:val="none"/>
                <w:lang w:eastAsia="zh-CN"/>
              </w:rPr>
              <w:t>预算</w:t>
            </w:r>
            <w:r>
              <w:rPr>
                <w:rFonts w:asciiTheme="minorEastAsia" w:hAnsiTheme="minorEastAsia" w:cstheme="minorEastAsia"/>
                <w:b/>
                <w:color w:val="auto"/>
                <w:sz w:val="24"/>
                <w:szCs w:val="24"/>
                <w:highlight w:val="none"/>
              </w:rPr>
              <w:t>金额的1.5%计取；100万-500万部分金额按</w:t>
            </w:r>
            <w:r>
              <w:rPr>
                <w:rFonts w:hint="eastAsia" w:asciiTheme="minorEastAsia" w:hAnsiTheme="minorEastAsia" w:cstheme="minorEastAsia"/>
                <w:b/>
                <w:color w:val="auto"/>
                <w:sz w:val="24"/>
                <w:szCs w:val="24"/>
                <w:highlight w:val="none"/>
                <w:lang w:val="en-US" w:eastAsia="zh-CN"/>
              </w:rPr>
              <w:t>1.1</w:t>
            </w:r>
            <w:r>
              <w:rPr>
                <w:rFonts w:asciiTheme="minorEastAsia" w:hAnsiTheme="minorEastAsia" w:cstheme="minorEastAsia"/>
                <w:b/>
                <w:color w:val="auto"/>
                <w:sz w:val="24"/>
                <w:szCs w:val="24"/>
                <w:highlight w:val="none"/>
              </w:rPr>
              <w:t>%计取；500-1000万部分金额按0.</w:t>
            </w:r>
            <w:r>
              <w:rPr>
                <w:rFonts w:hint="eastAsia" w:asciiTheme="minorEastAsia" w:hAnsiTheme="minorEastAsia" w:cstheme="minorEastAsia"/>
                <w:b/>
                <w:color w:val="auto"/>
                <w:sz w:val="24"/>
                <w:szCs w:val="24"/>
                <w:highlight w:val="none"/>
                <w:lang w:val="en-US" w:eastAsia="zh-CN"/>
              </w:rPr>
              <w:t>8</w:t>
            </w:r>
            <w:r>
              <w:rPr>
                <w:rFonts w:asciiTheme="minorEastAsia" w:hAnsiTheme="minorEastAsia" w:cstheme="minorEastAsia"/>
                <w:b/>
                <w:color w:val="auto"/>
                <w:sz w:val="24"/>
                <w:szCs w:val="24"/>
                <w:highlight w:val="none"/>
              </w:rPr>
              <w:t>%计取，由</w:t>
            </w:r>
            <w:r>
              <w:rPr>
                <w:rFonts w:hint="eastAsia" w:asciiTheme="minorEastAsia" w:hAnsiTheme="minorEastAsia" w:cstheme="minorEastAsia"/>
                <w:b/>
                <w:color w:val="auto"/>
                <w:sz w:val="24"/>
                <w:szCs w:val="24"/>
                <w:highlight w:val="none"/>
                <w:lang w:eastAsia="zh-CN"/>
              </w:rPr>
              <w:t>中标人</w:t>
            </w:r>
            <w:r>
              <w:rPr>
                <w:rFonts w:asciiTheme="minorEastAsia" w:hAnsiTheme="minorEastAsia" w:cstheme="minorEastAsia"/>
                <w:b/>
                <w:color w:val="auto"/>
                <w:sz w:val="24"/>
                <w:szCs w:val="24"/>
                <w:highlight w:val="none"/>
              </w:rPr>
              <w:t>在领取</w:t>
            </w:r>
            <w:r>
              <w:rPr>
                <w:rFonts w:hint="eastAsia" w:asciiTheme="minorEastAsia" w:hAnsiTheme="minorEastAsia" w:cstheme="minorEastAsia"/>
                <w:b/>
                <w:color w:val="auto"/>
                <w:sz w:val="24"/>
                <w:szCs w:val="24"/>
                <w:highlight w:val="none"/>
                <w:lang w:val="en-US" w:eastAsia="zh-Hans"/>
              </w:rPr>
              <w:t>中标</w:t>
            </w:r>
            <w:r>
              <w:rPr>
                <w:rFonts w:asciiTheme="minorEastAsia" w:hAnsiTheme="minorEastAsia" w:cstheme="minorEastAsia"/>
                <w:b/>
                <w:color w:val="auto"/>
                <w:sz w:val="24"/>
                <w:szCs w:val="24"/>
                <w:highlight w:val="none"/>
              </w:rPr>
              <w:t>通知书时向福建省鸿远招标有限公司一次性付清。</w:t>
            </w:r>
          </w:p>
          <w:p w14:paraId="25E3E733">
            <w:pPr>
              <w:pStyle w:val="24"/>
              <w:keepNext w:val="0"/>
              <w:keepLines w:val="0"/>
              <w:widowControl/>
              <w:suppressLineNumbers w:val="0"/>
              <w:spacing w:before="0" w:beforeAutospacing="0" w:after="0" w:afterAutospacing="0" w:line="360" w:lineRule="auto"/>
              <w:ind w:left="0" w:right="0"/>
              <w:jc w:val="both"/>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2</w:t>
            </w:r>
            <w:r>
              <w:rPr>
                <w:rFonts w:hint="eastAsia"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其他：</w:t>
            </w:r>
            <w:r>
              <w:rPr>
                <w:rFonts w:hint="default" w:asciiTheme="minorEastAsia" w:hAnsiTheme="minorEastAsia" w:cstheme="minorEastAsia"/>
                <w:b/>
                <w:color w:val="auto"/>
                <w:sz w:val="24"/>
                <w:szCs w:val="24"/>
                <w:highlight w:val="none"/>
                <w:lang w:eastAsia="zh-CN"/>
              </w:rPr>
              <w:t>1</w:t>
            </w:r>
            <w:r>
              <w:rPr>
                <w:rFonts w:hint="eastAsia" w:asciiTheme="minorEastAsia" w:hAnsiTheme="minorEastAsia" w:cstheme="minorEastAsia"/>
                <w:b/>
                <w:color w:val="auto"/>
                <w:sz w:val="24"/>
                <w:szCs w:val="24"/>
                <w:highlight w:val="none"/>
                <w:lang w:val="en-US" w:eastAsia="zh-Hans"/>
              </w:rPr>
              <w:t>.</w:t>
            </w:r>
            <w:r>
              <w:rPr>
                <w:rFonts w:asciiTheme="minorEastAsia" w:hAnsiTheme="minorEastAsia" w:cstheme="minorEastAsia"/>
                <w:b/>
                <w:color w:val="auto"/>
                <w:sz w:val="24"/>
                <w:szCs w:val="24"/>
                <w:highlight w:val="none"/>
              </w:rPr>
              <w:t>质疑受理的其它要求：a.投标人的质疑函应以纸质原件现场递交，递交质疑函时还需提供收款收据（或网上汇款凭证）、营业执照复印件、授权委托书、法定代表人及授权代表身份证复印件，</w:t>
            </w:r>
            <w:r>
              <w:rPr>
                <w:rFonts w:asciiTheme="minorEastAsia" w:hAnsiTheme="minorEastAsia" w:cstheme="minorEastAsia"/>
                <w:b/>
                <w:color w:val="auto"/>
                <w:sz w:val="24"/>
                <w:szCs w:val="24"/>
                <w:highlight w:val="none"/>
                <w:lang w:eastAsia="zh-CN"/>
              </w:rPr>
              <w:t>自然人仅需提供身份证明资料，</w:t>
            </w:r>
            <w:r>
              <w:rPr>
                <w:rFonts w:asciiTheme="minorEastAsia" w:hAnsiTheme="minorEastAsia" w:cstheme="minorEastAsia"/>
                <w:b/>
                <w:color w:val="auto"/>
                <w:sz w:val="24"/>
                <w:szCs w:val="24"/>
                <w:highlight w:val="none"/>
              </w:rPr>
              <w:t>否则将不被认定为潜在投标人，其质疑将不予受理。b.在法定质疑期内投标人须一次性提出针对同一采购程序环节的质疑，若投标人多次对同一采购程序环节提出质疑的，采购代理机构将不予以受理。c.质疑书应按</w:t>
            </w:r>
            <w:r>
              <w:rPr>
                <w:rFonts w:hint="eastAsia" w:asciiTheme="minorEastAsia" w:hAnsiTheme="minorEastAsia" w:cstheme="minorEastAsia"/>
                <w:b/>
                <w:color w:val="auto"/>
                <w:sz w:val="24"/>
                <w:szCs w:val="24"/>
                <w:highlight w:val="none"/>
                <w:lang w:eastAsia="zh-CN"/>
              </w:rPr>
              <w:t>福建省</w:t>
            </w:r>
            <w:r>
              <w:rPr>
                <w:rFonts w:asciiTheme="minorEastAsia" w:hAnsiTheme="minorEastAsia" w:cstheme="minorEastAsia"/>
                <w:b/>
                <w:color w:val="auto"/>
                <w:sz w:val="24"/>
                <w:szCs w:val="24"/>
                <w:highlight w:val="none"/>
              </w:rPr>
              <w:t>政府采购质疑投诉有关文书范本的通知的政府采购投标人质疑函范本编制提供。d.接收质疑函的方式、联系部门、联系电话和通讯地址：①接收质疑函的方式：现场接收；②接收质疑函的联系部门：</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；③接收质疑函的联系电话：</w:t>
            </w:r>
            <w:r>
              <w:rPr>
                <w:rFonts w:hint="eastAsia" w:asciiTheme="minorEastAsia" w:hAnsiTheme="minorEastAsia" w:cstheme="minorEastAsia"/>
                <w:b/>
                <w:color w:val="auto"/>
                <w:sz w:val="24"/>
                <w:szCs w:val="24"/>
                <w:highlight w:val="none"/>
                <w:lang w:eastAsia="zh-CN"/>
              </w:rPr>
              <w:t>0593-2916316</w:t>
            </w:r>
            <w:r>
              <w:rPr>
                <w:rFonts w:asciiTheme="minorEastAsia" w:hAnsiTheme="minorEastAsia" w:cstheme="minorEastAsia"/>
                <w:b/>
                <w:color w:val="auto"/>
                <w:sz w:val="24"/>
                <w:szCs w:val="24"/>
                <w:highlight w:val="none"/>
              </w:rPr>
              <w:t>；④接收质疑函的通讯地址：</w:t>
            </w:r>
            <w:r>
              <w:rPr>
                <w:rFonts w:hint="eastAsia" w:asciiTheme="minorEastAsia" w:hAnsiTheme="minorEastAsia" w:cstheme="minorEastAsia"/>
                <w:b/>
                <w:color w:val="auto"/>
                <w:sz w:val="24"/>
                <w:szCs w:val="24"/>
                <w:highlight w:val="none"/>
                <w:lang w:eastAsia="zh-CN"/>
              </w:rPr>
              <w:t>宁德市蕉城区蕉城南路40号锦绣名苑1幢1梯1907室</w:t>
            </w:r>
            <w:r>
              <w:rPr>
                <w:rFonts w:asciiTheme="minorEastAsia" w:hAnsiTheme="minorEastAsia" w:cstheme="minorEastAsia"/>
                <w:b/>
                <w:color w:val="auto"/>
                <w:sz w:val="24"/>
                <w:szCs w:val="24"/>
                <w:highlight w:val="none"/>
              </w:rPr>
              <w:t xml:space="preserve">。 </w:t>
            </w:r>
            <w:r>
              <w:rPr>
                <w:rFonts w:hint="eastAsia" w:asciiTheme="minorEastAsia" w:hAnsiTheme="minorEastAsia" w:cstheme="minorEastAsia"/>
                <w:b/>
                <w:color w:val="auto"/>
                <w:sz w:val="24"/>
                <w:szCs w:val="24"/>
                <w:highlight w:val="none"/>
                <w:lang w:val="en-US" w:eastAsia="zh-CN"/>
              </w:rPr>
              <w:t>2.投标人提供的资信证明若有注明“复印件无效”或“复印无效”的，投标人在投标文件中可提供复印件，但同时应准备好原件备查（若评标委员会有要求而投标人未能在规定时间内提供原件核查的，将按不利于投标人进行评审）。</w:t>
            </w:r>
          </w:p>
        </w:tc>
      </w:tr>
    </w:tbl>
    <w:p w14:paraId="458E09A4">
      <w:pPr>
        <w:pStyle w:val="24"/>
        <w:spacing w:line="480" w:lineRule="exact"/>
        <w:rPr>
          <w:rFonts w:hint="default" w:asciiTheme="minorEastAsia" w:hAnsiTheme="minorEastAsia" w:cstheme="minorEastAsia"/>
          <w:color w:val="auto"/>
          <w:highlight w:val="none"/>
        </w:rPr>
      </w:pPr>
      <w:r>
        <w:rPr>
          <w:rFonts w:asciiTheme="minorEastAsia" w:hAnsiTheme="minorEastAsia" w:cstheme="minorEastAsia"/>
          <w:b/>
          <w:color w:val="auto"/>
          <w:highlight w:val="none"/>
        </w:rPr>
        <w:t xml:space="preserve"> </w:t>
      </w:r>
    </w:p>
    <w:p w14:paraId="284E80EB">
      <w:pPr>
        <w:pStyle w:val="24"/>
        <w:spacing w:line="480" w:lineRule="exact"/>
        <w:jc w:val="center"/>
        <w:rPr>
          <w:rFonts w:hint="default" w:asciiTheme="minorEastAsia" w:hAnsiTheme="minorEastAsia" w:cstheme="minorEastAsia"/>
          <w:b/>
          <w:color w:val="auto"/>
          <w:sz w:val="36"/>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6995E665">
      <w:pPr>
        <w:pStyle w:val="24"/>
        <w:jc w:val="center"/>
        <w:rPr>
          <w:rFonts w:hint="default" w:asciiTheme="minorEastAsia" w:hAnsiTheme="minorEastAsia" w:cstheme="minorEastAsia"/>
          <w:color w:val="auto"/>
          <w:sz w:val="36"/>
          <w:szCs w:val="36"/>
          <w:highlight w:val="none"/>
        </w:rPr>
      </w:pPr>
      <w:r>
        <w:rPr>
          <w:rFonts w:asciiTheme="minorEastAsia" w:hAnsiTheme="minorEastAsia" w:cstheme="minorEastAsia"/>
          <w:b/>
          <w:color w:val="auto"/>
          <w:sz w:val="36"/>
          <w:szCs w:val="36"/>
          <w:highlight w:val="none"/>
        </w:rPr>
        <w:t>第三章 投标人须知</w:t>
      </w:r>
    </w:p>
    <w:p w14:paraId="64E97F8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一、总则</w:t>
      </w:r>
    </w:p>
    <w:p w14:paraId="5EFAA22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1、适用范围</w:t>
      </w:r>
    </w:p>
    <w:p w14:paraId="6D149CA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1.1适用于招标文件载明项目的政府采购活动（以下简称：“本次采购活动”）。</w:t>
      </w:r>
    </w:p>
    <w:p w14:paraId="0E13296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2、定义</w:t>
      </w:r>
    </w:p>
    <w:p w14:paraId="2BFCFBD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2.1“采购标的”指招标文件载明的需要采购的货物或服务。</w:t>
      </w:r>
    </w:p>
    <w:p w14:paraId="3442590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2.2“潜在投标人”指按照招标文件第一章第</w:t>
      </w:r>
      <w:r>
        <w:rPr>
          <w:rFonts w:asciiTheme="minorEastAsia" w:hAnsiTheme="minorEastAsia" w:cstheme="minorEastAsia"/>
          <w:b/>
          <w:color w:val="auto"/>
          <w:sz w:val="24"/>
          <w:szCs w:val="24"/>
          <w:highlight w:val="none"/>
          <w:lang w:eastAsia="zh-CN"/>
        </w:rPr>
        <w:t>6</w:t>
      </w:r>
      <w:r>
        <w:rPr>
          <w:rFonts w:asciiTheme="minorEastAsia" w:hAnsiTheme="minorEastAsia" w:cstheme="minorEastAsia"/>
          <w:b/>
          <w:color w:val="auto"/>
          <w:sz w:val="24"/>
          <w:szCs w:val="24"/>
          <w:highlight w:val="none"/>
        </w:rPr>
        <w:t>条规定获取招标文件且有意向参加本项目投标的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w:t>
      </w:r>
    </w:p>
    <w:p w14:paraId="17E3C54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2.3“投标人”指按照招标文件第一章第</w:t>
      </w:r>
      <w:r>
        <w:rPr>
          <w:rFonts w:asciiTheme="minorEastAsia" w:hAnsiTheme="minorEastAsia" w:cstheme="minorEastAsia"/>
          <w:b/>
          <w:color w:val="auto"/>
          <w:sz w:val="24"/>
          <w:szCs w:val="24"/>
          <w:highlight w:val="none"/>
          <w:lang w:eastAsia="zh-CN"/>
        </w:rPr>
        <w:t>6</w:t>
      </w:r>
      <w:r>
        <w:rPr>
          <w:rFonts w:asciiTheme="minorEastAsia" w:hAnsiTheme="minorEastAsia" w:cstheme="minorEastAsia"/>
          <w:b/>
          <w:color w:val="auto"/>
          <w:sz w:val="24"/>
          <w:szCs w:val="24"/>
          <w:highlight w:val="none"/>
        </w:rPr>
        <w:t>条规定获取招标文件并参加本项目投标的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w:t>
      </w:r>
    </w:p>
    <w:p w14:paraId="705C12E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2.4“单位负责人”指单位法定代表人或法律、法规规定代表单位行使职权的主要负责人。</w:t>
      </w:r>
    </w:p>
    <w:p w14:paraId="30B9BF0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2.5“投标人代表”指投标人的单位负责人或“单位负责人授权书”中载明的接受授权方。</w:t>
      </w:r>
    </w:p>
    <w:p w14:paraId="1A237A6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二、投标人</w:t>
      </w:r>
    </w:p>
    <w:p w14:paraId="169E1F0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3、合格投标人</w:t>
      </w:r>
    </w:p>
    <w:p w14:paraId="44FB3BA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3.1一般规定</w:t>
      </w:r>
    </w:p>
    <w:p w14:paraId="0BE5ECD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（1）投标人应遵守政府采购法及实施条例、政府采购招投标管理办法、政府采购质疑和投诉办法及财政部、福建省财政厅有关政府采购文件的规定，同时还应遵守有关法律、法规和规章的强制性规定。</w:t>
      </w:r>
    </w:p>
    <w:p w14:paraId="68D5E64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（2）投标人的资格要求：详见招标文件第一章。</w:t>
      </w:r>
    </w:p>
    <w:p w14:paraId="2D7BB08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3.2若本项目接受联合体投标且投标人为联合体，则联合体各方应遵守本章第3.1条规定，同时还应遵守下列规定：</w:t>
      </w:r>
    </w:p>
    <w:p w14:paraId="5223836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（1）联合体各方应提交联合体协议，联合体协议应符合招标文件规定。</w:t>
      </w:r>
    </w:p>
    <w:p w14:paraId="081E1DE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（2）联合体各方不得再单独参加或与其他</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另外组成联合体参加同一合同项下的投标。</w:t>
      </w:r>
    </w:p>
    <w:p w14:paraId="6A52982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（3）联合体各方应共同与采购人签订政府采购合同，就政府采购合同约定的事项对采购人承担连带责任。</w:t>
      </w:r>
    </w:p>
    <w:p w14:paraId="3B7C09B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（4）项目如涉及资质要求，该部分工作内容应由联合体中符合该资质要求的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承担，联合体协议及签订的采购合同应符合这一要求；联合体中有同类资质的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按照联合体分工承担相同工作的，应当按照资质等级较低的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确定资质等级。</w:t>
      </w:r>
    </w:p>
    <w:p w14:paraId="71CBBEC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（5）联合体一方放弃中标的，视为联合体整体放弃中标，联合体各方承担连带责任。</w:t>
      </w:r>
    </w:p>
    <w:p w14:paraId="417FDE2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（6）如本项目不接受联合体投标而投标人为联合体的，或者本项目接受联合体投标但投标人组成的联合体不符合本章第3.2条规定的，投标无效。</w:t>
      </w:r>
    </w:p>
    <w:p w14:paraId="339E66B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4、投标费用</w:t>
      </w:r>
    </w:p>
    <w:p w14:paraId="189803E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4.1除招标文件另有规定外，投标人应自行承担其参加本项目投标所涉及的一切费用。</w:t>
      </w:r>
    </w:p>
    <w:p w14:paraId="166E6B5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三、招标</w:t>
      </w:r>
    </w:p>
    <w:p w14:paraId="0B55784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5、招标文件</w:t>
      </w:r>
    </w:p>
    <w:p w14:paraId="1D78DDC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5.1招标文件由下述部分组成：</w:t>
      </w:r>
    </w:p>
    <w:p w14:paraId="345EE8C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（1）投标邀请</w:t>
      </w:r>
    </w:p>
    <w:p w14:paraId="5678FC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（2）投标人须知前附表（表1、2）</w:t>
      </w:r>
    </w:p>
    <w:p w14:paraId="2832892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（3）投标人须知</w:t>
      </w:r>
    </w:p>
    <w:p w14:paraId="1ABCF9E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（4）资格审查与评标</w:t>
      </w:r>
    </w:p>
    <w:p w14:paraId="72B2FF9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（5）招标内容及要求</w:t>
      </w:r>
    </w:p>
    <w:p w14:paraId="6912000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（6）政府采购合同（参考文本）</w:t>
      </w:r>
    </w:p>
    <w:p w14:paraId="67D874B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（7）投标文件格式</w:t>
      </w:r>
    </w:p>
    <w:p w14:paraId="46EF902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（8）按照招标文件规定作为招标文件组成部分的其他内容（若有）</w:t>
      </w:r>
    </w:p>
    <w:p w14:paraId="1B517F9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5.2招标文件的澄清或修改</w:t>
      </w:r>
    </w:p>
    <w:p w14:paraId="4E911D3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可对已发出的招标文件进行必要的澄清或修改，但不得对招标文件载明的采购标的和投标人的资格要求进行改变。</w:t>
      </w:r>
    </w:p>
    <w:p w14:paraId="633BB52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（2）除本章第5.2条第（3）款规定情形外，澄清或修改的内容可能影响</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编制的，</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将在投标截止时间至少15个日历日前，在招标文件载明的指定媒体以更正公告的形式发布澄清或修改的内容。不足15个日历日的，</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将顺延投标截止时间及开标时间，</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和投标人受原投标截止时间及开标时间制约的所有权利和义务均延长至新的投标截止时间及开标时间。</w:t>
      </w:r>
    </w:p>
    <w:p w14:paraId="21CDF3A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（3）澄清或修改的内容可能改变招标文件载明的采购标的和投标人的资格要求的，本次采购活动结束，</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将依法组织后续采购活动（包括但不限于：重新招标、采用其他方式采购等）。</w:t>
      </w:r>
    </w:p>
    <w:p w14:paraId="656E417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6、现场考察或开标前答疑会</w:t>
      </w:r>
    </w:p>
    <w:p w14:paraId="20002BD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6.1是否组织现场考察或召开开标前答疑会：详见招标文件第二章。</w:t>
      </w:r>
    </w:p>
    <w:p w14:paraId="609D516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7、更正公告</w:t>
      </w:r>
    </w:p>
    <w:p w14:paraId="4490280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7.1若</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发布更正公告，则更正公告及其所发布的内容或信息（包括但不限于：招标文件的澄清或修改、现场考察或答疑会的有关事宜等）作为招标文件组成部分，对投标人具有约束力。</w:t>
      </w:r>
    </w:p>
    <w:p w14:paraId="3136990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7.2更正公告作为</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通知所有潜在投标人的书面形式。</w:t>
      </w:r>
    </w:p>
    <w:p w14:paraId="3D0CDD4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8、终止公告</w:t>
      </w:r>
    </w:p>
    <w:p w14:paraId="18BE3F5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8.1若出现因重大变故导致采购任务取消情形，</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可终止招标并发布终止公告。</w:t>
      </w:r>
    </w:p>
    <w:p w14:paraId="219E813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8.2终止公告作为</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通知所有潜在投标人的书面形式。</w:t>
      </w:r>
    </w:p>
    <w:p w14:paraId="1F4AD2D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四、投标</w:t>
      </w:r>
    </w:p>
    <w:p w14:paraId="5579F54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9、投标</w:t>
      </w:r>
    </w:p>
    <w:p w14:paraId="6858EB8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9.1投标人可对招标文件载明的全部或部分</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进行投标。</w:t>
      </w:r>
    </w:p>
    <w:p w14:paraId="021F82B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9.2投标人应对同一个</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内的所有内容进行完整投标，否则投标无效。</w:t>
      </w:r>
    </w:p>
    <w:p w14:paraId="1694F9A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9.3投标人代表只能接受一个投标人的授权参加投标，否则投标无效。</w:t>
      </w:r>
    </w:p>
    <w:p w14:paraId="434C741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9.4单位负责人为同一人或存在直接控股、管理关系的不同</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，不得同时参加同一合同项下的投标，否则投标无效。</w:t>
      </w:r>
    </w:p>
    <w:p w14:paraId="10DB60C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9.5为本项目提供整体设计、规范编制或项目管理、监理、检测等服务的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，不得参加本项目除整体设计、规范编制和项目管理、监理、检测等服务外的采购活动，否则投标无效。</w:t>
      </w:r>
    </w:p>
    <w:p w14:paraId="4610539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9.6列入失信被执行人、重大税收违法案件当事人名单、政府采购严重违法失信行为记录名单及其他不符合政府采购法第二十二条规定条件的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，不得参加投标，否则投标无效。</w:t>
      </w:r>
    </w:p>
    <w:p w14:paraId="56B2A1C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9.7有下列情形之一的，视为投标人串通投标，其投标无效：</w:t>
      </w:r>
    </w:p>
    <w:p w14:paraId="29409BA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（1）不同投标人的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由同一单位或个人编制；</w:t>
      </w:r>
    </w:p>
    <w:p w14:paraId="75ECAD2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（2）不同投标人委托同一单位或个人办理投标事宜；</w:t>
      </w:r>
    </w:p>
    <w:p w14:paraId="651E80F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（3）不同投标人的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载明的项目管理成员或联系人员为同一人；</w:t>
      </w:r>
    </w:p>
    <w:p w14:paraId="7680E22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（4）不同投标人的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异常一致或投标报价呈规律性差异；</w:t>
      </w:r>
    </w:p>
    <w:p w14:paraId="77F5506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（5）不同投标人的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相互混装；</w:t>
      </w:r>
    </w:p>
    <w:p w14:paraId="05A77BD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（6）不同投标人的投标保证金从同一单位或个人的账户转出；</w:t>
      </w:r>
    </w:p>
    <w:p w14:paraId="6C6FF70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（7）有关法律、法规和规章及招标文件规定的其他串通投标情形。</w:t>
      </w:r>
    </w:p>
    <w:p w14:paraId="009FFD3B">
      <w:pPr>
        <w:pStyle w:val="24"/>
        <w:spacing w:line="360" w:lineRule="auto"/>
        <w:ind w:firstLine="480"/>
        <w:jc w:val="both"/>
        <w:rPr>
          <w:rFonts w:hint="default" w:asciiTheme="minorEastAsia" w:hAnsi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10、</w:t>
      </w:r>
      <w:r>
        <w:rPr>
          <w:rFonts w:asciiTheme="minorEastAsia" w:hAnsiTheme="minorEastAsia" w:cstheme="minorEastAsia"/>
          <w:b/>
          <w:color w:val="auto"/>
          <w:sz w:val="24"/>
          <w:szCs w:val="24"/>
          <w:highlight w:val="none"/>
          <w:lang w:eastAsia="zh-CN"/>
        </w:rPr>
        <w:t>投标文件</w:t>
      </w:r>
    </w:p>
    <w:p w14:paraId="2520831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10.1</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的编制</w:t>
      </w:r>
    </w:p>
    <w:p w14:paraId="086A6AA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（1）投标人应先仔细阅读招标文件的全部内容后，再进行</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的编制。</w:t>
      </w:r>
    </w:p>
    <w:p w14:paraId="7C56A59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应按照本章第10.2条规定编制其组成部分。</w:t>
      </w:r>
    </w:p>
    <w:p w14:paraId="48C0A5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应满足招标文件提出的实质性要求和条件，并保证其所提交的全部资料是不可割离且真实、有效、准确、完整和不具有任何误导性的，否则造成不利后果由投标人承担责任。</w:t>
      </w:r>
    </w:p>
    <w:p w14:paraId="20851FA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10.2</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由下述部分组成：</w:t>
      </w:r>
    </w:p>
    <w:p w14:paraId="7825C0B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（1）资格及资信证明部分</w:t>
      </w:r>
    </w:p>
    <w:p w14:paraId="7CAE90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①投标函</w:t>
      </w:r>
    </w:p>
    <w:p w14:paraId="7015BAF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②投标人的资格及资信证明文件</w:t>
      </w:r>
    </w:p>
    <w:p w14:paraId="7BB5048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③投标保证金</w:t>
      </w:r>
    </w:p>
    <w:p w14:paraId="24F2273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（2）报价部分</w:t>
      </w:r>
    </w:p>
    <w:p w14:paraId="55B4ED0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①开标一览表</w:t>
      </w:r>
    </w:p>
    <w:p w14:paraId="3DB3F16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②投标分项报价表</w:t>
      </w:r>
    </w:p>
    <w:p w14:paraId="1780B61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③招标文件规定的价格扣除证明材料（若有）</w:t>
      </w:r>
    </w:p>
    <w:p w14:paraId="4DE6F83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④招标文件规定的加分证明材料（若有）</w:t>
      </w:r>
    </w:p>
    <w:p w14:paraId="5D6B575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（3）技术商务部分</w:t>
      </w:r>
    </w:p>
    <w:p w14:paraId="0DD87CE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①标的说明一览表</w:t>
      </w:r>
    </w:p>
    <w:p w14:paraId="609D519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②技术和服务要求响应表</w:t>
      </w:r>
    </w:p>
    <w:p w14:paraId="751F7E7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③商务条件响应表</w:t>
      </w:r>
    </w:p>
    <w:p w14:paraId="4690FBC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④投标人提交的其他资料（若有）</w:t>
      </w:r>
    </w:p>
    <w:p w14:paraId="7F0F5E5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⑤招标文件规定作为</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组成部分的其他内容（若有）</w:t>
      </w:r>
    </w:p>
    <w:p w14:paraId="5350B8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10.3</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的语言</w:t>
      </w:r>
    </w:p>
    <w:p w14:paraId="319BD4E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（1）除招标文件另有规定外，</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应使用中文文本，若有不同文本，以中文文本为准。</w:t>
      </w:r>
    </w:p>
    <w:p w14:paraId="27C732A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2476D48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10.4投标文件的份数：详见招标文件第二章。</w:t>
      </w:r>
    </w:p>
    <w:p w14:paraId="28C7D89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10.5</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的格式</w:t>
      </w:r>
    </w:p>
    <w:p w14:paraId="0C1FE06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（1）除招标文件另有规定外，</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应使用招标文件第七章规定的格式。</w:t>
      </w:r>
    </w:p>
    <w:p w14:paraId="45B8944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（2）除招标文件另有规定外，</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应使用不能擦去的墨料或墨水打印、书写或复印。</w:t>
      </w:r>
    </w:p>
    <w:p w14:paraId="56DB89A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（3）除招标文件另有规定外，</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应使用人民币作为计量货币。</w:t>
      </w:r>
    </w:p>
    <w:p w14:paraId="1721497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（4）除招标文件另有规定外，签署、盖章应遵守下列规定：</w:t>
      </w:r>
    </w:p>
    <w:p w14:paraId="144B659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应加盖投标人的单位公章。若投标人代表为单位授权的委托代理人，应提供“单位授权书”。</w:t>
      </w:r>
    </w:p>
    <w:p w14:paraId="3E8F73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应没有涂改或行间插字，除非这些改动是根据</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的指示进行的，或是为改正投标人造成的应修改的错误而进行的。若有前述改动，应按照下列规定之一对改动处进行处理：</w:t>
      </w:r>
    </w:p>
    <w:p w14:paraId="69B0CA9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a.投标人代表签字确认；</w:t>
      </w:r>
    </w:p>
    <w:p w14:paraId="4C0B22C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b.加盖投标人的单位公章或校正章。</w:t>
      </w:r>
    </w:p>
    <w:p w14:paraId="67C5F34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10.6投标报价</w:t>
      </w:r>
    </w:p>
    <w:p w14:paraId="7E56404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（1）投标报价超出最高限价将导致投标无效。</w:t>
      </w:r>
    </w:p>
    <w:p w14:paraId="6572F57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（2）最高限价由采购人根据价格测算情况，在预算金额的额度内合理设定。最高限价不得超出预算金额。</w:t>
      </w:r>
    </w:p>
    <w:p w14:paraId="2BBF48C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（3）除招标文件另有规定外，</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不能出现任何选择性的投标报价，即每一个</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和品目号的采购标的都只能有一个投标报价。任何选择性的投标报价将导致投标无效。</w:t>
      </w:r>
    </w:p>
    <w:p w14:paraId="6B3E69A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10.7分包</w:t>
      </w:r>
    </w:p>
    <w:p w14:paraId="4082AA5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（1）是否允许中标人将本项目的非主体、非关键性工作进行分包：详见招标文件第二章。</w:t>
      </w:r>
    </w:p>
    <w:p w14:paraId="78E56BD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（2）若允许中标人将本项目的非主体、非关键性工作进行分包且投标人拟在中标后进行分包，则应在</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中提供分包意向协议，同时投标人应在</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中载明分包承担主体，分包承担主体应具备相应资质条件（若有）且不得再次分包。</w:t>
      </w:r>
    </w:p>
    <w:p w14:paraId="28BE6DB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（3）招标文件允许中标人将非主体、非关键性工作进行分包的项目，有下列情形之一的，中标人不得分包：</w:t>
      </w:r>
    </w:p>
    <w:p w14:paraId="766516A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中未载明分包承担主体；</w:t>
      </w:r>
    </w:p>
    <w:p w14:paraId="1E2FDC0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载明的分包承担主体不具备相应资质条件；</w:t>
      </w:r>
    </w:p>
    <w:p w14:paraId="3C72FF7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载明的分包承担主体拟再次分包；</w:t>
      </w:r>
    </w:p>
    <w:p w14:paraId="3899DCC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④享受中小企业扶持政策获得政府采购合同的，小微企业不得将合同分包给大中型企业，中型企业不得将合同分包给大型企业。</w:t>
      </w:r>
    </w:p>
    <w:p w14:paraId="2C635E9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10.8投标有效期</w:t>
      </w:r>
    </w:p>
    <w:p w14:paraId="4380C4D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（1）招标文件载明的投标有效期：详见招标文件第二章。</w:t>
      </w:r>
    </w:p>
    <w:p w14:paraId="58A8FBA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承诺的投标有效期不得少于招标文件载明的投标有效期，否则投标无效。</w:t>
      </w:r>
    </w:p>
    <w:p w14:paraId="3F6A2EF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（3）根据本次采购活动的需要，</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可于投标有效期届满之前书面要求投标人延长投标有效期，投标人应在</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规定的期限内以书面形式予以答复。对于延长投标有效期的要求，投标人可以拒绝也可以接受，投标人答复不明确或逾期未答复的，均视为拒绝该要求。对于接受延长投标有效期的投标人，既不要求也不允许修改</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w:t>
      </w:r>
    </w:p>
    <w:p w14:paraId="0E26B86D">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10.9投标保证金</w:t>
      </w:r>
    </w:p>
    <w:p w14:paraId="22406F36">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（1）投标保证金作为投标人按照招标文件规定履行相应投标责任、义务的约束及担保。</w:t>
      </w:r>
    </w:p>
    <w:p w14:paraId="58D87185">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（2）投标人以保函形式提交投标保证金的，保函的有效期应等于或长于投标文件承诺的投标有效期，否则投标无效。</w:t>
      </w:r>
    </w:p>
    <w:p w14:paraId="74540695">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（3）提交</w:t>
      </w:r>
    </w:p>
    <w:p w14:paraId="42EA75A2">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①投标人以汇款形式缴纳投标保证金的，应从其银行账户（基本存款账户）按照下列方式：公对公转账方式向招标文件载明的投标保证金账户提交投标保证金，具体金额详见招标文件第一章。</w:t>
      </w:r>
    </w:p>
    <w:p w14:paraId="3B5BC155">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②投标人以保函形式提交投标保证金的，在投标截止时间之前将保函文件放入投标文件中，否则视为未提交投标保证金。</w:t>
      </w:r>
    </w:p>
    <w:p w14:paraId="27D8FFF0">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③若本项目接受联合体投标且投标人为联合体，则联合体中的牵头方应按照本章第10.9条第（3）款第①、②点规定提交投标保证金。</w:t>
      </w:r>
    </w:p>
    <w:p w14:paraId="4EBDF44B">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※除招标文件另有规定外，未按照上述规定提交投标保证金将导致资格审查不合格。</w:t>
      </w:r>
    </w:p>
    <w:p w14:paraId="44BDD2AB">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（4）退还</w:t>
      </w:r>
    </w:p>
    <w:p w14:paraId="0C6538F1">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①在投标截止时间前撤回已提交的投标文件的投标人，其投标保证金将在</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收到投标人书面撤回通知之日起5个工作日内退回原账户。</w:t>
      </w:r>
    </w:p>
    <w:p w14:paraId="41089CCC">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②未中标人的投标保证金将在中标通知书发出之日起5个工作日内退回原账户。</w:t>
      </w:r>
    </w:p>
    <w:p w14:paraId="3F296DA1">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③中标人的投标保证金将在政府采购合同签订之日起5个工作日内退回原账户。</w:t>
      </w:r>
    </w:p>
    <w:p w14:paraId="4A88CCF9">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④终止招标的，</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将在终止公告发布之日起5个工作日内退回已收取的投标保证金及其在银行产生的孳息。</w:t>
      </w:r>
    </w:p>
    <w:p w14:paraId="799C1BFB">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⑤除招标文件另有规定外，质疑或投诉涉及的投标人，若投标保证金尚未退还，则待质疑或投诉处理完毕后不计利息原额退还。</w:t>
      </w:r>
    </w:p>
    <w:p w14:paraId="089CFB5A">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※本章第10.9条第（4）款第①、②、③点规定的投标保证金退还时限不包括因投标人自身原因导致无法及时退还而增加的时间。</w:t>
      </w:r>
    </w:p>
    <w:p w14:paraId="1F51E2D0">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14:paraId="4C850BEC">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（6）有下列情形之一的，投标保证金将不予退还或通过投标保函进行索赔：</w:t>
      </w:r>
    </w:p>
    <w:p w14:paraId="5935B4E3">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①投标人串通投标；</w:t>
      </w:r>
    </w:p>
    <w:p w14:paraId="3F5B1FB0">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②投标人提供虚假材料；</w:t>
      </w:r>
    </w:p>
    <w:p w14:paraId="085B5B96">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③投标人采取不正当手段诋毁、排挤其他投标人；</w:t>
      </w:r>
    </w:p>
    <w:p w14:paraId="5432C630">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④投标截止时间后，投标人在投标有效期内撤销投标文件；</w:t>
      </w:r>
    </w:p>
    <w:p w14:paraId="3F5E756E">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⑤招标文件规定的其他不予退还情形；</w:t>
      </w:r>
    </w:p>
    <w:p w14:paraId="2CC22248">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⑥中标人有下列情形之一的：</w:t>
      </w:r>
    </w:p>
    <w:p w14:paraId="21B2FD17">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a.除不可抗力外，因中标人自身原因未在中标通知书要求的期限内与采购人签订政府采购合同；</w:t>
      </w:r>
    </w:p>
    <w:p w14:paraId="11B6E439">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b.未按照招标文件、投标文件的约定签订政府采购合同或提交履约保证金。</w:t>
      </w:r>
    </w:p>
    <w:p w14:paraId="6140B495">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※若上述投标保证金不予退还情形给采购人（采购代理机构）造成损失，则投标人还要承担相应的赔偿责任。</w:t>
      </w:r>
    </w:p>
    <w:p w14:paraId="3D14813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10.10</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的提交</w:t>
      </w:r>
    </w:p>
    <w:p w14:paraId="1D5B7F7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（1）一个投标人只能提交一个</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，并按照招标文件第一章规定在</w:t>
      </w:r>
      <w:r>
        <w:rPr>
          <w:rFonts w:asciiTheme="minorEastAsia" w:hAnsiTheme="minorEastAsia" w:cstheme="minorEastAsia"/>
          <w:b/>
          <w:color w:val="auto"/>
          <w:sz w:val="24"/>
          <w:szCs w:val="24"/>
          <w:highlight w:val="none"/>
          <w:lang w:eastAsia="zh-CN"/>
        </w:rPr>
        <w:t>投标截止时间前递交</w:t>
      </w:r>
      <w:r>
        <w:rPr>
          <w:rFonts w:asciiTheme="minorEastAsia" w:hAnsiTheme="minorEastAsia" w:cstheme="minorEastAsia"/>
          <w:b/>
          <w:color w:val="auto"/>
          <w:sz w:val="24"/>
          <w:szCs w:val="24"/>
          <w:highlight w:val="none"/>
        </w:rPr>
        <w:t>。</w:t>
      </w:r>
    </w:p>
    <w:p w14:paraId="6E181CA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10.11</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的补充、修改或撤回</w:t>
      </w:r>
    </w:p>
    <w:p w14:paraId="648E687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（1）投标截止时间前，投标人可对所提交的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进行补充、修改或撤回，并书面通知</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w:t>
      </w:r>
    </w:p>
    <w:p w14:paraId="7B02582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（2）补充、修改的内容应按照本章第10.5条第（4）款规定进行签署、盖章，并按照本章第10.10条规定提交，否则将被拒收。</w:t>
      </w:r>
    </w:p>
    <w:p w14:paraId="6C597B7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※按照上述规定提交的补充、修改内容作为</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组成部分。</w:t>
      </w:r>
    </w:p>
    <w:p w14:paraId="3876C02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10.12除招标文件另有规定外，有下列情形之一的，投标无效：</w:t>
      </w:r>
    </w:p>
    <w:p w14:paraId="25316D0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未按照招标文件要求签署、盖章；</w:t>
      </w:r>
    </w:p>
    <w:p w14:paraId="0902518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（2）不符合招标文件中规定的资格要求；</w:t>
      </w:r>
    </w:p>
    <w:p w14:paraId="68A6A77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（3）投标报价超过招标文件中规定的预算金额或最高限价；</w:t>
      </w:r>
    </w:p>
    <w:p w14:paraId="5AB2431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含有采购人不能接受的附加条件；</w:t>
      </w:r>
    </w:p>
    <w:p w14:paraId="7E413DA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（5）有关法律、法规和规章及招标文件规定的其他无效情形。</w:t>
      </w:r>
    </w:p>
    <w:p w14:paraId="169DAADF">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五、开标</w:t>
      </w:r>
    </w:p>
    <w:p w14:paraId="2D3BF7F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11、开标</w:t>
      </w:r>
    </w:p>
    <w:p w14:paraId="1C1B13D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11.1</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将在招标文件载明的开标时间及地点主持召开开标会，并邀请投标人参加。</w:t>
      </w:r>
    </w:p>
    <w:p w14:paraId="414D295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11.2开标会的主持人、唱标人、记录人及其他工作人员（若有）均由</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派出，现场监督人员（若有）可由有关方面派出。</w:t>
      </w:r>
    </w:p>
    <w:p w14:paraId="630DB85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11.3本项目的开标环节，由开标会监督代表和各投标人检查纸质投标文件的密封情况，对符合密封要求的纸质投标文件按照提交纸质投标文件时间的先后顺序（或者逆顺序）当场逐一拆封，由开标会主持人宣唱并记录各投标人的报价，唱标内容为“开标一览表”内容。</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对唱标内容作开标记录，由各投标人签名确认。</w:t>
      </w:r>
    </w:p>
    <w:p w14:paraId="3A00C6B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11.4开标会应遵守下列规定：</w:t>
      </w:r>
    </w:p>
    <w:p w14:paraId="03559F9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（1）首先由主持人宣布开标会须知，然后由投标人代表对</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w:t>
      </w:r>
      <w:r>
        <w:rPr>
          <w:rFonts w:asciiTheme="minorEastAsia" w:hAnsiTheme="minorEastAsia" w:cstheme="minorEastAsia"/>
          <w:b/>
          <w:color w:val="auto"/>
          <w:sz w:val="24"/>
          <w:szCs w:val="24"/>
          <w:highlight w:val="none"/>
          <w:lang w:eastAsia="zh-CN"/>
        </w:rPr>
        <w:t>密封</w:t>
      </w:r>
      <w:r>
        <w:rPr>
          <w:rFonts w:asciiTheme="minorEastAsia" w:hAnsiTheme="minorEastAsia" w:cstheme="minorEastAsia"/>
          <w:b/>
          <w:color w:val="auto"/>
          <w:sz w:val="24"/>
          <w:szCs w:val="24"/>
          <w:highlight w:val="none"/>
        </w:rPr>
        <w:t>情况进行检查，经确认无误后，由工作人员对参加现场开标会投标人的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进行</w:t>
      </w:r>
      <w:r>
        <w:rPr>
          <w:rFonts w:asciiTheme="minorEastAsia" w:hAnsiTheme="minorEastAsia" w:cstheme="minorEastAsia"/>
          <w:b/>
          <w:color w:val="auto"/>
          <w:sz w:val="24"/>
          <w:szCs w:val="24"/>
          <w:highlight w:val="none"/>
          <w:lang w:eastAsia="zh-CN"/>
        </w:rPr>
        <w:t>拆封</w:t>
      </w:r>
      <w:r>
        <w:rPr>
          <w:rFonts w:asciiTheme="minorEastAsia" w:hAnsiTheme="minorEastAsia" w:cstheme="minorEastAsia"/>
          <w:b/>
          <w:color w:val="auto"/>
          <w:sz w:val="24"/>
          <w:szCs w:val="24"/>
          <w:highlight w:val="none"/>
        </w:rPr>
        <w:t>。</w:t>
      </w:r>
    </w:p>
    <w:p w14:paraId="534D488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（2）唱标时，唱标人将依次宣布“投标人名称”、“各投标人关于</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补充、修改或撤回的书面通知（若有）”、“各投标人的投标报价”和招标文件规定的需要宣布的其他内容（包括但不限于：开标一览表中的内容、唱标人认为需要宣布的内容等）。</w:t>
      </w:r>
    </w:p>
    <w:p w14:paraId="7136666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（3）唱标结束后，参加现场开标会的投标人代表应对开标记录进行签字确认。</w:t>
      </w:r>
    </w:p>
    <w:p w14:paraId="4147845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投标人代表对开标过程和开标记录有疑义，以及认为采购人（采购代理机构）相关工作人员有需要回避情形的，应当场提出询问或回避申请。投标人代表未按规定提出疑义又拒绝对开标记录签字确认的，视为投标人对开标过程和开标记录予以认可。</w:t>
      </w:r>
    </w:p>
    <w:p w14:paraId="539E3B4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（5）若投标人未到开标现场参加开标会</w:t>
      </w:r>
      <w:r>
        <w:rPr>
          <w:rFonts w:asciiTheme="minorEastAsia" w:hAnsiTheme="minorEastAsia" w:cstheme="minorEastAsia"/>
          <w:b/>
          <w:color w:val="auto"/>
          <w:sz w:val="24"/>
          <w:szCs w:val="24"/>
          <w:highlight w:val="none"/>
          <w:lang w:eastAsia="zh-CN"/>
        </w:rPr>
        <w:t>的</w:t>
      </w:r>
      <w:r>
        <w:rPr>
          <w:rFonts w:asciiTheme="minorEastAsia" w:hAnsiTheme="minorEastAsia" w:cstheme="minorEastAsia"/>
          <w:b/>
          <w:color w:val="auto"/>
          <w:sz w:val="24"/>
          <w:szCs w:val="24"/>
          <w:highlight w:val="none"/>
        </w:rPr>
        <w:t>，视同认可开标结果。</w:t>
      </w:r>
    </w:p>
    <w:p w14:paraId="1499136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※若出现本章第11.4条第（3）、（4）、（5）款规定情形之一，则投标人不得在开标会后就开标过程和开标记录涉及或可能涉及的有关事由（包括但不限于：“投标报价”、“</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的格式”、“</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的提交”、“</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的补充、修改或撤回”等）向</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提出任何疑义或要求（包括质疑）。</w:t>
      </w:r>
    </w:p>
    <w:p w14:paraId="75C9D92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11.5投标截止时间后，参加投标的投标人不足三家的，不进行开标。同时，本次采购活动结束，</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将依法组织后续采购活动（包括但不限于：重新招标、采用其他方式采购等）。</w:t>
      </w:r>
    </w:p>
    <w:p w14:paraId="387D8CD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11.6投标截止时间后撤销投标的处理</w:t>
      </w:r>
    </w:p>
    <w:p w14:paraId="2949C7F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投标截止时间后，投标人在投标有效期内撤销投标的，其撤销投标的行为无效。</w:t>
      </w:r>
    </w:p>
    <w:p w14:paraId="0D1601E9">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六、中标与政府采购合同</w:t>
      </w:r>
    </w:p>
    <w:p w14:paraId="4E67C7C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12、中标</w:t>
      </w:r>
    </w:p>
    <w:p w14:paraId="3DC006E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12.1本项目推荐的中标候选人家数：详见招标文件第二章。</w:t>
      </w:r>
    </w:p>
    <w:p w14:paraId="1400F41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12.2本项目中标人的确定：详见招标文件第二章。</w:t>
      </w:r>
    </w:p>
    <w:p w14:paraId="69E3D09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12.3中标公告</w:t>
      </w:r>
    </w:p>
    <w:p w14:paraId="4C3C201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（1）中标人确定之日起2个工作日内，</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将在招标文件载明的指定媒体以中标公告的形式发布中标结果。</w:t>
      </w:r>
    </w:p>
    <w:p w14:paraId="634A161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（2）中标公告的公告期限为1个工作日。</w:t>
      </w:r>
    </w:p>
    <w:p w14:paraId="605AF29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12.4中标通知书</w:t>
      </w:r>
    </w:p>
    <w:p w14:paraId="594EAE6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（1）中标公告发布的同时，</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将向中标人发出中标通知书。</w:t>
      </w:r>
    </w:p>
    <w:p w14:paraId="54D978B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（2）中标通知书发出后，采购人不得违法改变中标结果，中标人无正当理由不得放弃中标。</w:t>
      </w:r>
    </w:p>
    <w:p w14:paraId="788B23B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13、政府采购合同</w:t>
      </w:r>
    </w:p>
    <w:p w14:paraId="2DB2B27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13.1签订政府采购合同应遵守政府采购法及实施条例的规定，不得对招标文件确定的事项和中标人的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作实质性修改。采购人不得向中标人提出任何不合理的要求作为政府采购合同的签订条件。</w:t>
      </w:r>
    </w:p>
    <w:p w14:paraId="6517468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13.2签订时限：详见须知前附表1的13.2。</w:t>
      </w:r>
    </w:p>
    <w:p w14:paraId="3ABBEA0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13.3政府采购合同的履行、违约责任和解决争议的方法等适用民法典。</w:t>
      </w:r>
    </w:p>
    <w:p w14:paraId="7A54B8C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13.4采购人与中标人应根据政府采购合同的约定依法履行合同义务。</w:t>
      </w:r>
    </w:p>
    <w:p w14:paraId="1C3BF1E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13.5政府采购合同履行过程中，采购人若需追加与合同标的相同的货物或服务，则追加采购金额不得超过原合同采购金额的10%。</w:t>
      </w:r>
    </w:p>
    <w:p w14:paraId="5255BAD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13.6中标人在政府采购合同履行过程中应遵守有关法律、法规和规章的强制性规定（即使前述强制性规定有可能在招标文件中未予列明）。</w:t>
      </w:r>
    </w:p>
    <w:p w14:paraId="01CF0132">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七、询问、质疑与投诉</w:t>
      </w:r>
    </w:p>
    <w:p w14:paraId="32A8F32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14、询问</w:t>
      </w:r>
    </w:p>
    <w:p w14:paraId="41BC07B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14.1潜在投标人或投标人对本次采购活动的有关事项若有疑问，可向</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提出询问，</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将按照政府采购法及实施条例的有关规定进行答复。</w:t>
      </w:r>
    </w:p>
    <w:p w14:paraId="5683E94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15、质疑</w:t>
      </w:r>
    </w:p>
    <w:p w14:paraId="348E7D8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15.1针对同一采购程序环节的质疑应在政府采购法及实施条例的时限内一次性提出，对一个项目的不同</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提出质疑的，应当将各</w:t>
      </w: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rPr>
        <w:t>质疑事项集中在一份质疑函中提出，并同时符合下列条件：</w:t>
      </w:r>
    </w:p>
    <w:p w14:paraId="16C8AED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（1）对招标文件提出质疑的，质疑人应为潜在投标人，且两者的身份、名称等均应保持一致。对采购过程、结果提出质疑的，质疑人应为投标人，且两者的身份、名称等均应保持一致。</w:t>
      </w:r>
    </w:p>
    <w:p w14:paraId="434996C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（2）质疑人应按照招标文件第二章规定方式提交质疑函。</w:t>
      </w:r>
    </w:p>
    <w:p w14:paraId="26CE2F6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（3）质疑函应包括下列主要内容：</w:t>
      </w:r>
    </w:p>
    <w:p w14:paraId="3B4F072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①质疑人的基本信息，至少包括：全称、地址、邮政编码等；</w:t>
      </w:r>
    </w:p>
    <w:p w14:paraId="681AB56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②所质疑项目的基本信息，至少包括：项目编号、项目名称等；</w:t>
      </w:r>
    </w:p>
    <w:p w14:paraId="41A137F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③所质疑的具体事项（以下简称：“质疑事项”）；</w:t>
      </w:r>
    </w:p>
    <w:p w14:paraId="4ADB424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④针对质疑事项提出的明确请求，前述明确请求指质疑人提出质疑的目的以及希望</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对其质疑作出的处理结果，如：暂停招标投标活动、修改招标文件、停止或纠正违法违规行为、中标结果无效、废标、重新招标等；</w:t>
      </w:r>
    </w:p>
    <w:p w14:paraId="1D890C8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⑤针对质疑事项导致质疑人自身权益受到损害的必要证明材料，至少包括：</w:t>
      </w:r>
    </w:p>
    <w:p w14:paraId="2BFF327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a.质疑人代表的身份证明材料：</w:t>
      </w:r>
    </w:p>
    <w:p w14:paraId="4D1CFE6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14:paraId="5216F99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a2若本项目接受自然人投标且质疑人为自然人的，提供本人的身份证复印件。</w:t>
      </w:r>
    </w:p>
    <w:p w14:paraId="67E6CC3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b.其他证明材料（即事实依据和必要的法律依据）包括但不限于下列材料：</w:t>
      </w:r>
    </w:p>
    <w:p w14:paraId="4A0E67C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b1所质疑的具体事项是与自己有利害关系的证明材料；</w:t>
      </w:r>
    </w:p>
    <w:p w14:paraId="7006B44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b2质疑函所述事实存在的证明材料，如：采购文件、采购过程或中标结果违法违规或不符合采购文件要求等证明材料；</w:t>
      </w:r>
    </w:p>
    <w:p w14:paraId="7DC683B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b3依法应终止采购程序的证明材料；</w:t>
      </w:r>
    </w:p>
    <w:p w14:paraId="37246B3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b4应重新采购的证明材料；</w:t>
      </w:r>
    </w:p>
    <w:p w14:paraId="43C268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b5采购文件、采购过程或中标、成交结果损害自己合法权益的证明材料等；</w:t>
      </w:r>
    </w:p>
    <w:p w14:paraId="210419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14:paraId="152ECBD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⑥质疑人代表及其联系方法的信息，至少包括：姓名、手机、电子信箱、邮寄地址等。</w:t>
      </w:r>
    </w:p>
    <w:p w14:paraId="0BAEE38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⑦提出质疑的日期。</w:t>
      </w:r>
    </w:p>
    <w:p w14:paraId="15FA355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※质疑人为法人或其他组织的，质疑函应由单位负责人或委托代理人签字或盖章，并加盖投标人的单位公章。质疑人为自然人的，质疑函应由本人签字。</w:t>
      </w:r>
    </w:p>
    <w:p w14:paraId="27E35F1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15.2对不符合本章第15.1条规定的质疑，将按照下列规定进行处理：</w:t>
      </w:r>
    </w:p>
    <w:p w14:paraId="72D7E61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（1）不符合其中第（1）、（2）条规定的，书面告知质疑人不予受理及其理由。</w:t>
      </w:r>
    </w:p>
    <w:p w14:paraId="4D09CB3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（2）不符合其中第（3）条规定的，书面告知质疑人修改、补充后在规定时限内重新提交质疑函。</w:t>
      </w:r>
    </w:p>
    <w:p w14:paraId="074F1CC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15.3对符合本章第15.1条规定的质疑，将按照政府采购法及实施条例、政府采购质疑和投诉办法的有关规定进行答复。</w:t>
      </w:r>
    </w:p>
    <w:p w14:paraId="54E5780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15.4招标文件的质疑：详见招标文件第二章。</w:t>
      </w:r>
    </w:p>
    <w:p w14:paraId="6B64015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16、投诉</w:t>
      </w:r>
    </w:p>
    <w:p w14:paraId="20CCCFF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16.1若对质疑答复不满意或质疑答复未在答复期限内作出，质疑人可在答复期限届满之日起15个工作日内按照政府采购质疑和投诉办法的有关规定向招标文件第二章载明的本项目监督管理部门提起投诉。</w:t>
      </w:r>
    </w:p>
    <w:p w14:paraId="465DA3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16.2投诉应有明确的请求和必要的证明材料，投诉的事项不得超出已质疑事项的范围。</w:t>
      </w:r>
    </w:p>
    <w:p w14:paraId="146FCD13">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八、政府采购政策</w:t>
      </w:r>
    </w:p>
    <w:p w14:paraId="0343F14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17、政府采购政策由财政部根据国家的经济和社会发展政策并会同国家有关部委制定，包括但不限于下列具体政策要求：</w:t>
      </w:r>
    </w:p>
    <w:p w14:paraId="19BD85D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17.1进口产品指通过中国海关报关验放进入中国境内且产自关境外的产品，其中：</w:t>
      </w:r>
    </w:p>
    <w:p w14:paraId="19ECC34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14:paraId="4452B1D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（2）凡在海关特殊监管区域内企业生产或加工（包括从境外进口料件）销往境内其他地区的产品，不作为政府采购项下进口产品。</w:t>
      </w:r>
    </w:p>
    <w:p w14:paraId="08BF035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（3）对从境外进入海关特殊监管区域，再经办理报关手续后从海关特殊监管区进入境内其他地区的产品，认定为进口产品。</w:t>
      </w:r>
    </w:p>
    <w:p w14:paraId="50F9EE4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（4）招标文件列明不允许或未列明允许进口产品参加投标的，均视为拒绝进口产品参加投标。</w:t>
      </w:r>
    </w:p>
    <w:p w14:paraId="76DCB03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78E7BE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w:t>
      </w:r>
      <w:r>
        <w:rPr>
          <w:rFonts w:hint="eastAsia" w:asciiTheme="minorEastAsia" w:hAnsiTheme="minorEastAsia" w:cstheme="minorEastAsia"/>
          <w:b/>
          <w:color w:val="auto"/>
          <w:sz w:val="24"/>
          <w:szCs w:val="24"/>
          <w:highlight w:val="none"/>
          <w:lang w:val="en-US" w:eastAsia="zh-CN"/>
        </w:rPr>
        <w:t>3</w:t>
      </w:r>
      <w:r>
        <w:rPr>
          <w:rFonts w:asciiTheme="minorEastAsia" w:hAnsiTheme="minorEastAsia" w:cstheme="minorEastAsia"/>
          <w:b/>
          <w:color w:val="auto"/>
          <w:sz w:val="24"/>
          <w:szCs w:val="24"/>
          <w:highlight w:val="none"/>
        </w:rPr>
        <w:t>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14:paraId="01D06CD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（1）中小企业指符合下列条件的中型、小型、微型企业：</w:t>
      </w:r>
    </w:p>
    <w:p w14:paraId="3D6D343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14:paraId="0E3A53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②符合中小企业划分标准的个体工商户，在政府采购活动中视同中小企业。</w:t>
      </w:r>
    </w:p>
    <w:p w14:paraId="74BF0D7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（2）在政府采购活动中，</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提供的货物、工程或者服务符合下列情形的，享受本办法规定的中小企业扶持政策：</w:t>
      </w:r>
    </w:p>
    <w:p w14:paraId="0CCE688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①在货物采购项目中，货物由中小企业制造，即货物由中小企业生产且使用该中小企业商号或者注册商标；</w:t>
      </w:r>
    </w:p>
    <w:p w14:paraId="671AEB6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②在工程采购项目中，工程由中小企业承建，即工程施工单位为中小企业；</w:t>
      </w:r>
    </w:p>
    <w:p w14:paraId="26AE998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③在服务采购项目中，服务由中小企业承接，即提供服务的人员为中小企业依照《中华人民共和国劳动合同法》订立劳动合同的从业人员。</w:t>
      </w:r>
    </w:p>
    <w:p w14:paraId="36A443C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在货物采购项目中，</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提供的货物既有中小企业制造货物，也有大型企业制造货物的，不享受本办法规定的中小企业扶持政策。</w:t>
      </w:r>
    </w:p>
    <w:p w14:paraId="7963351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以联合体形式参加政府采购活动，联合体各方均为中小企业的，联合体视同中小企业。其中，联合体各方均为小微企业的，联合体视同小微企业。</w:t>
      </w:r>
    </w:p>
    <w:p w14:paraId="437AF00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（3）投标人应当按照招标文件明确的采购标的对应行业的划分标准出具中小企业声明函。</w:t>
      </w:r>
    </w:p>
    <w:p w14:paraId="5B7BD7E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14:paraId="011A9F1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14:paraId="31D29D4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①监狱企业参加采购活动时，应提供由省级以上监狱管理局、戒毒管理局（含新疆生产建设兵团）出具的属于监狱企业的证明文件。</w:t>
      </w:r>
    </w:p>
    <w:p w14:paraId="38F808C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②监狱企业视同小型、微型企业。</w:t>
      </w:r>
    </w:p>
    <w:p w14:paraId="303A3A7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（5）残疾人福利性单位指同时符合下列条件的单位：</w:t>
      </w:r>
    </w:p>
    <w:p w14:paraId="614C2E1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①安置的残疾人占本单位在职职工人数的比例不低于25%（含25%），并且安置的残疾人人数不少于10人（含10人）；</w:t>
      </w:r>
    </w:p>
    <w:p w14:paraId="6ABFF41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②依法与安置的每位残疾人签订了一年以上（含一年）的劳动合同或服务协议；</w:t>
      </w:r>
    </w:p>
    <w:p w14:paraId="7EC1AB2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③为安置的每位残疾人按月足额缴纳了基本养老保险、基本医疗保险、失业保险、工伤保险和生育保险等社会保险费；</w:t>
      </w:r>
    </w:p>
    <w:p w14:paraId="308CC4B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④通过银行等金融机构向安置的每位残疾人，按月支付了不低于单位所在区县适用的经省级人民政府批准的月最低工资标准的工资；</w:t>
      </w:r>
    </w:p>
    <w:p w14:paraId="0383783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⑤提供本单位制造的货物、承担的工程或服务，或提供其他残疾人福利性单位制造的货物（不包括使用非残疾人福利性单位注册商标的货物）。</w:t>
      </w:r>
    </w:p>
    <w:p w14:paraId="5D08A22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14:paraId="34EA15D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符合上述条件的残疾人福利性单位参加采购活动时，应提供《残疾人福利性单位声明函》，并对声明的真实性负责。残疾人福利性单位视同小型、微型企业。残疾人福利性单位属于小型、微型企业的，不重复享受政策。</w:t>
      </w:r>
    </w:p>
    <w:p w14:paraId="6E4B5DC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w:t>
      </w:r>
      <w:r>
        <w:rPr>
          <w:rFonts w:hint="eastAsia" w:asciiTheme="minorEastAsia" w:hAnsiTheme="minorEastAsia" w:cstheme="minorEastAsia"/>
          <w:b/>
          <w:color w:val="auto"/>
          <w:sz w:val="24"/>
          <w:szCs w:val="24"/>
          <w:highlight w:val="none"/>
          <w:lang w:val="en-US" w:eastAsia="zh-CN"/>
        </w:rPr>
        <w:t>4</w:t>
      </w:r>
      <w:r>
        <w:rPr>
          <w:rFonts w:asciiTheme="minorEastAsia" w:hAnsiTheme="minorEastAsia" w:cstheme="minorEastAsia"/>
          <w:b/>
          <w:color w:val="auto"/>
          <w:sz w:val="24"/>
          <w:szCs w:val="24"/>
          <w:highlight w:val="none"/>
        </w:rPr>
        <w:t>信用记录指由财政部确定的有关网站提供的相关主体信用信息。信用记录的查询及使用应符合财政部文件（财库[2016]125号）规定。</w:t>
      </w:r>
    </w:p>
    <w:p w14:paraId="6D1A5A3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17.</w:t>
      </w:r>
      <w:r>
        <w:rPr>
          <w:rFonts w:hint="eastAsia" w:asciiTheme="minorEastAsia" w:hAnsiTheme="minorEastAsia" w:cstheme="minorEastAsia"/>
          <w:b/>
          <w:color w:val="auto"/>
          <w:sz w:val="24"/>
          <w:szCs w:val="24"/>
          <w:highlight w:val="none"/>
          <w:lang w:val="en-US" w:eastAsia="zh-CN"/>
        </w:rPr>
        <w:t>5</w:t>
      </w:r>
      <w:r>
        <w:rPr>
          <w:rFonts w:asciiTheme="minorEastAsia" w:hAnsiTheme="minorEastAsia" w:cstheme="minorEastAsia"/>
          <w:b/>
          <w:color w:val="auto"/>
          <w:sz w:val="24"/>
          <w:szCs w:val="24"/>
          <w:highlight w:val="none"/>
        </w:rPr>
        <w:t>为落实政府采购政策需满足的要求：详见招标文件第一章。</w:t>
      </w:r>
    </w:p>
    <w:p w14:paraId="00AB0F35">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九、本项目的有关信息</w:t>
      </w:r>
    </w:p>
    <w:p w14:paraId="2826F65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18、本项目的有关信息，包括但不限于：招标公告、更正公告（若有）、招标文件、招标文件的澄清或修改（若有）、中标公告、终止公告（若有）、废标公告（若有）等都将在招标文件载明的指定媒体发布。</w:t>
      </w:r>
    </w:p>
    <w:p w14:paraId="0DC4F7A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18.1指定媒体：详见招标文件第二章。</w:t>
      </w:r>
    </w:p>
    <w:p w14:paraId="73F72EF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18.2本项目的潜在投标人或投标人应随时关注指定媒体，否则产生不利后果由其自行承担。</w:t>
      </w:r>
    </w:p>
    <w:p w14:paraId="26F6E2C8">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十、其他事项</w:t>
      </w:r>
    </w:p>
    <w:p w14:paraId="2195EB9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19、其他事项：</w:t>
      </w:r>
    </w:p>
    <w:p w14:paraId="675753E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19.1本项目中如涉及商品包装和快递包装的，其包装需求标准应不低于《关于印发〈商品包装政府采购需求标准(试行)〉、〈快递包装政府采购需求标准(试行)〉的通知》（财办库〔2020〕123号）规定的包装要求，其他包装需求详见招标文件具体规定。采购人、中标人双方签订合同及验收环节，应包含上述包装要求的条款。</w:t>
      </w:r>
    </w:p>
    <w:p w14:paraId="2840B87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19.2其他：详见招标文件第二章。</w:t>
      </w:r>
    </w:p>
    <w:p w14:paraId="291C7BAD">
      <w:pPr>
        <w:pStyle w:val="24"/>
        <w:rPr>
          <w:rFonts w:hint="default" w:asciiTheme="minorEastAsia" w:hAnsiTheme="minorEastAsia" w:cstheme="minorEastAsia"/>
          <w:color w:val="auto"/>
          <w:highlight w:val="none"/>
        </w:rPr>
      </w:pPr>
    </w:p>
    <w:p w14:paraId="1E45F9D8">
      <w:pPr>
        <w:pStyle w:val="24"/>
        <w:jc w:val="center"/>
        <w:rPr>
          <w:rFonts w:hint="default" w:asciiTheme="minorEastAsia" w:hAnsiTheme="minorEastAsia" w:cstheme="minorEastAsia"/>
          <w:b/>
          <w:color w:val="auto"/>
          <w:sz w:val="36"/>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ABFD19F">
      <w:pPr>
        <w:pStyle w:val="24"/>
        <w:jc w:val="center"/>
        <w:rPr>
          <w:rFonts w:hint="default" w:asciiTheme="minorEastAsia" w:hAnsiTheme="minorEastAsia" w:cstheme="minorEastAsia"/>
          <w:color w:val="auto"/>
          <w:sz w:val="36"/>
          <w:szCs w:val="36"/>
          <w:highlight w:val="none"/>
        </w:rPr>
      </w:pPr>
      <w:r>
        <w:rPr>
          <w:rFonts w:asciiTheme="minorEastAsia" w:hAnsiTheme="minorEastAsia" w:cstheme="minorEastAsia"/>
          <w:b/>
          <w:color w:val="auto"/>
          <w:sz w:val="36"/>
          <w:szCs w:val="36"/>
          <w:highlight w:val="none"/>
        </w:rPr>
        <w:t>第四章 资格审查与评标</w:t>
      </w:r>
    </w:p>
    <w:p w14:paraId="217C6C57">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一、资格审查</w:t>
      </w:r>
    </w:p>
    <w:p w14:paraId="1C2B80C0">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1、开标结束后，由</w:t>
      </w:r>
      <w:r>
        <w:rPr>
          <w:rFonts w:hint="eastAsia" w:asciiTheme="minorEastAsia" w:hAnsiTheme="minorEastAsia" w:cstheme="minorEastAsia"/>
          <w:bCs/>
          <w:color w:val="auto"/>
          <w:sz w:val="24"/>
          <w:szCs w:val="24"/>
          <w:highlight w:val="none"/>
          <w:lang w:eastAsia="zh-CN"/>
        </w:rPr>
        <w:t>福建省鸿远招标有限公司</w:t>
      </w:r>
      <w:r>
        <w:rPr>
          <w:rFonts w:asciiTheme="minorEastAsia" w:hAnsiTheme="minorEastAsia" w:cstheme="minorEastAsia"/>
          <w:bCs/>
          <w:color w:val="auto"/>
          <w:sz w:val="24"/>
          <w:szCs w:val="24"/>
          <w:highlight w:val="none"/>
        </w:rPr>
        <w:t>负责资格审查小组的组建及资格审查工作的组织。</w:t>
      </w:r>
    </w:p>
    <w:p w14:paraId="4350FCAA">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1.1资格审查小组</w:t>
      </w:r>
    </w:p>
    <w:p w14:paraId="034CAAFB">
      <w:pPr>
        <w:pStyle w:val="24"/>
        <w:spacing w:line="360" w:lineRule="auto"/>
        <w:ind w:firstLine="480" w:firstLineChars="200"/>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资格审查小组由3人组成，并负责具体审查事务。</w:t>
      </w:r>
    </w:p>
    <w:p w14:paraId="14B9B39E">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1.2资格审查的依据是招标文件和</w:t>
      </w:r>
      <w:r>
        <w:rPr>
          <w:rFonts w:asciiTheme="minorEastAsia" w:hAnsiTheme="minorEastAsia" w:cstheme="minorEastAsia"/>
          <w:bCs/>
          <w:color w:val="auto"/>
          <w:sz w:val="24"/>
          <w:szCs w:val="24"/>
          <w:highlight w:val="none"/>
          <w:lang w:eastAsia="zh-CN"/>
        </w:rPr>
        <w:t>投标文件</w:t>
      </w:r>
      <w:r>
        <w:rPr>
          <w:rFonts w:asciiTheme="minorEastAsia" w:hAnsiTheme="minorEastAsia" w:cstheme="minorEastAsia"/>
          <w:bCs/>
          <w:color w:val="auto"/>
          <w:sz w:val="24"/>
          <w:szCs w:val="24"/>
          <w:highlight w:val="none"/>
        </w:rPr>
        <w:t>。</w:t>
      </w:r>
    </w:p>
    <w:p w14:paraId="5070358B">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1.3资格审查的范围及内容：</w:t>
      </w:r>
      <w:r>
        <w:rPr>
          <w:rFonts w:asciiTheme="minorEastAsia" w:hAnsiTheme="minorEastAsia" w:cstheme="minorEastAsia"/>
          <w:bCs/>
          <w:color w:val="auto"/>
          <w:sz w:val="24"/>
          <w:szCs w:val="24"/>
          <w:highlight w:val="none"/>
          <w:lang w:eastAsia="zh-CN"/>
        </w:rPr>
        <w:t>投标文件</w:t>
      </w:r>
      <w:r>
        <w:rPr>
          <w:rFonts w:asciiTheme="minorEastAsia" w:hAnsiTheme="minorEastAsia" w:cstheme="minorEastAsia"/>
          <w:bCs/>
          <w:color w:val="auto"/>
          <w:sz w:val="24"/>
          <w:szCs w:val="24"/>
          <w:highlight w:val="none"/>
        </w:rPr>
        <w:t>（资格及资信证明部分），具体如下：</w:t>
      </w:r>
    </w:p>
    <w:p w14:paraId="24189CF3">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（1）“投标函”；</w:t>
      </w:r>
    </w:p>
    <w:p w14:paraId="0986E820">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（2）“投标人的资格及资信证明文件”</w:t>
      </w:r>
    </w:p>
    <w:p w14:paraId="136F67B1">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①一般资格证明文件：</w:t>
      </w:r>
    </w:p>
    <w:p w14:paraId="032E66C3">
      <w:pPr>
        <w:pStyle w:val="24"/>
        <w:spacing w:line="360" w:lineRule="auto"/>
        <w:ind w:firstLine="480"/>
        <w:jc w:val="both"/>
        <w:rPr>
          <w:rFonts w:hint="default" w:asciiTheme="minorEastAsia" w:hAnsiTheme="minorEastAsia" w:cstheme="minorEastAsia"/>
          <w:b/>
          <w:color w:val="auto"/>
          <w:sz w:val="24"/>
          <w:szCs w:val="24"/>
          <w:highlight w:val="none"/>
          <w:lang w:eastAsia="zh-CN"/>
        </w:rPr>
      </w:pPr>
      <w:r>
        <w:rPr>
          <w:rFonts w:asciiTheme="minorEastAsia" w:hAnsiTheme="minorEastAsia" w:cstheme="minorEastAsia"/>
          <w:b/>
          <w:color w:val="auto"/>
          <w:sz w:val="24"/>
          <w:szCs w:val="24"/>
          <w:highlight w:val="none"/>
          <w:lang w:eastAsia="zh-CN"/>
        </w:rPr>
        <w:t>详见第一章5.1法定条件</w:t>
      </w:r>
    </w:p>
    <w:p w14:paraId="3FC11AFE">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※备注说明</w:t>
      </w:r>
    </w:p>
    <w:p w14:paraId="42CC5594">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①投标人应根据自身实际情况提供上述资格要求的证明材料，格式可参考招标文件第七章提供。</w:t>
      </w:r>
    </w:p>
    <w:p w14:paraId="21D84E59">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②投标人提供的相应证明材料复印件均应符合：内容完整、清晰、整洁，并由投标人加盖其单位公章。</w:t>
      </w:r>
    </w:p>
    <w:p w14:paraId="66255CA6">
      <w:pPr>
        <w:pStyle w:val="24"/>
        <w:spacing w:line="360" w:lineRule="auto"/>
        <w:ind w:firstLine="480"/>
        <w:jc w:val="both"/>
        <w:rPr>
          <w:rFonts w:hint="default" w:asciiTheme="minorEastAsia" w:hAnsiTheme="minorEastAsia" w:cstheme="minorEastAsia"/>
          <w:bCs/>
          <w:color w:val="auto"/>
          <w:sz w:val="24"/>
          <w:szCs w:val="24"/>
          <w:highlight w:val="none"/>
        </w:rPr>
      </w:pPr>
      <w:r>
        <w:rPr>
          <w:rFonts w:asciiTheme="minorEastAsia" w:hAnsiTheme="minorEastAsia" w:cstheme="minorEastAsia"/>
          <w:bCs/>
          <w:color w:val="auto"/>
          <w:sz w:val="24"/>
          <w:szCs w:val="24"/>
          <w:highlight w:val="none"/>
        </w:rPr>
        <w:t>②.其他资格证明文件：</w:t>
      </w:r>
    </w:p>
    <w:p w14:paraId="633159B5">
      <w:pPr>
        <w:pStyle w:val="24"/>
        <w:spacing w:line="360" w:lineRule="auto"/>
        <w:ind w:firstLine="482" w:firstLineChars="20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lang w:eastAsia="zh-CN"/>
        </w:rPr>
        <w:t>详见第一章5.2特定资格</w:t>
      </w:r>
    </w:p>
    <w:p w14:paraId="26A3A0D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（3）投标保证金。</w:t>
      </w:r>
    </w:p>
    <w:p w14:paraId="6E604CB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1.4有下列情形之一的，资格审查不合格：</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873"/>
      </w:tblGrid>
      <w:tr w14:paraId="18209EB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873" w:type="dxa"/>
          </w:tcPr>
          <w:p w14:paraId="13F43227">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明细</w:t>
            </w:r>
          </w:p>
        </w:tc>
      </w:tr>
      <w:tr w14:paraId="736387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873" w:type="dxa"/>
          </w:tcPr>
          <w:p w14:paraId="7562CAF7">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未按照招标文件规定提交投标函</w:t>
            </w:r>
          </w:p>
        </w:tc>
      </w:tr>
      <w:tr w14:paraId="79DD70D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8873" w:type="dxa"/>
          </w:tcPr>
          <w:p w14:paraId="0ACEE386">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未按照招标文件规定提交投标人的资格及资信文件</w:t>
            </w:r>
          </w:p>
        </w:tc>
      </w:tr>
      <w:tr w14:paraId="1BA666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8873" w:type="dxa"/>
          </w:tcPr>
          <w:p w14:paraId="44855FC4">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未按照招标文件规定提交投标保证金</w:t>
            </w:r>
          </w:p>
        </w:tc>
      </w:tr>
    </w:tbl>
    <w:p w14:paraId="01B1C6AA">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1.5若本项目接受联合体投标且投标人为联合体，联合体中有同类资质的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按照联合体分工承担相同工作的，应先按照资质等级较低的</w:t>
      </w:r>
      <w:r>
        <w:rPr>
          <w:rFonts w:asciiTheme="minorEastAsia" w:hAnsiTheme="minorEastAsia" w:cstheme="minorEastAsia"/>
          <w:b/>
          <w:color w:val="auto"/>
          <w:sz w:val="24"/>
          <w:szCs w:val="24"/>
          <w:highlight w:val="none"/>
          <w:lang w:eastAsia="zh-CN"/>
        </w:rPr>
        <w:t>投标人</w:t>
      </w:r>
      <w:r>
        <w:rPr>
          <w:rFonts w:asciiTheme="minorEastAsia" w:hAnsiTheme="minorEastAsia" w:cstheme="minorEastAsia"/>
          <w:b/>
          <w:color w:val="auto"/>
          <w:sz w:val="24"/>
          <w:szCs w:val="24"/>
          <w:highlight w:val="none"/>
        </w:rPr>
        <w:t>确定资质等级，再按照本章第1.2、1.3、1.4条规定进行资格审查。</w:t>
      </w:r>
    </w:p>
    <w:p w14:paraId="3686964B">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2、资格审查情况不得私自外泄，有关信息由</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统一对外发布。</w:t>
      </w:r>
    </w:p>
    <w:p w14:paraId="4D0956D0">
      <w:pPr>
        <w:pStyle w:val="24"/>
        <w:spacing w:line="360" w:lineRule="auto"/>
        <w:ind w:firstLine="482"/>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3、资格审查合格的投标人不足三家的，不进行评标。同时，本次采购活动结束，</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将依法组织后续采购活动（包括但不限于：重新招标、采用其他方式采购等）。</w:t>
      </w:r>
    </w:p>
    <w:p w14:paraId="6703EED3">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二、评标</w:t>
      </w:r>
    </w:p>
    <w:p w14:paraId="33931D0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4、资格审查结束后，由</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负责评标委员会的组建及评标工作的组织。</w:t>
      </w:r>
    </w:p>
    <w:p w14:paraId="5E334C5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5、评标委员会</w:t>
      </w:r>
    </w:p>
    <w:p w14:paraId="69770B2E">
      <w:pPr>
        <w:pStyle w:val="24"/>
        <w:spacing w:line="360" w:lineRule="auto"/>
        <w:ind w:firstLine="482"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val="en-US" w:eastAsia="zh-CN"/>
        </w:rPr>
        <w:t>5.1</w:t>
      </w:r>
      <w:r>
        <w:rPr>
          <w:rFonts w:asciiTheme="minorEastAsia" w:hAnsiTheme="minorEastAsia" w:cstheme="minorEastAsia"/>
          <w:b/>
          <w:color w:val="auto"/>
          <w:sz w:val="24"/>
          <w:szCs w:val="24"/>
          <w:highlight w:val="none"/>
        </w:rPr>
        <w:t>评审专家</w:t>
      </w:r>
      <w:r>
        <w:rPr>
          <w:rFonts w:hint="eastAsia" w:asciiTheme="minorEastAsia" w:hAnsiTheme="minorEastAsia" w:cstheme="minorEastAsia"/>
          <w:b/>
          <w:color w:val="auto"/>
          <w:sz w:val="24"/>
          <w:szCs w:val="24"/>
          <w:highlight w:val="none"/>
          <w:lang w:val="en-US" w:eastAsia="zh-CN"/>
        </w:rPr>
        <w:t>由5</w:t>
      </w:r>
      <w:r>
        <w:rPr>
          <w:rFonts w:asciiTheme="minorEastAsia" w:hAnsiTheme="minorEastAsia" w:cstheme="minorEastAsia"/>
          <w:b/>
          <w:color w:val="auto"/>
          <w:sz w:val="24"/>
          <w:szCs w:val="24"/>
          <w:highlight w:val="none"/>
        </w:rPr>
        <w:t>人组成，其中由福建省政府采购评审专家库产生的评审专家</w:t>
      </w:r>
      <w:r>
        <w:rPr>
          <w:rFonts w:hint="eastAsia" w:asciiTheme="minorEastAsia" w:hAnsiTheme="minorEastAsia" w:cstheme="minorEastAsia"/>
          <w:b/>
          <w:color w:val="auto"/>
          <w:sz w:val="24"/>
          <w:szCs w:val="24"/>
          <w:highlight w:val="none"/>
          <w:lang w:val="en-US" w:eastAsia="zh-CN"/>
        </w:rPr>
        <w:t>5</w:t>
      </w:r>
      <w:r>
        <w:rPr>
          <w:rFonts w:asciiTheme="minorEastAsia" w:hAnsiTheme="minorEastAsia" w:cstheme="minorEastAsia"/>
          <w:b/>
          <w:color w:val="auto"/>
          <w:sz w:val="24"/>
          <w:szCs w:val="24"/>
          <w:highlight w:val="none"/>
        </w:rPr>
        <w:t>人</w:t>
      </w:r>
      <w:r>
        <w:rPr>
          <w:rFonts w:asciiTheme="minorEastAsia" w:hAnsiTheme="minorEastAsia" w:cstheme="minorEastAsia"/>
          <w:b/>
          <w:color w:val="auto"/>
          <w:sz w:val="24"/>
          <w:szCs w:val="24"/>
          <w:highlight w:val="none"/>
        </w:rPr>
        <w:t>。</w:t>
      </w:r>
    </w:p>
    <w:p w14:paraId="624901B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5.2评标委员会负责具体评标事务，并按照下列原则依法独立履行有关职责：</w:t>
      </w:r>
    </w:p>
    <w:p w14:paraId="421BE7C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（1）评标应保护国家利益、社会公共利益和各方当事人合法权益，提高采购效益，保证项目质量。</w:t>
      </w:r>
    </w:p>
    <w:p w14:paraId="5CE831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（2）评标应遵循公平、公正、科学、严谨和择优原则。</w:t>
      </w:r>
    </w:p>
    <w:p w14:paraId="3AFC078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（3）评标的依据是招标文件和</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w:t>
      </w:r>
    </w:p>
    <w:p w14:paraId="4286C5C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（4）应按照招标文件规定推荐中标候选人或确定中标人。</w:t>
      </w:r>
    </w:p>
    <w:p w14:paraId="152CB14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（5）评标应遵守下列评标纪律：</w:t>
      </w:r>
    </w:p>
    <w:p w14:paraId="7969617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①评标情况不得私自外泄，有关信息由</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统一对外发布。</w:t>
      </w:r>
    </w:p>
    <w:p w14:paraId="46C7FBA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②对</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或投标人提供的要求保密的资料，不得摘记翻印和外传。</w:t>
      </w:r>
    </w:p>
    <w:p w14:paraId="71E6116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③不得收受投标人或有关人员的任何礼物，不得串联鼓动其他人袒护某投标人。若与投标人存在利害关系，则应主动声明并回避。</w:t>
      </w:r>
    </w:p>
    <w:p w14:paraId="7B8D1E3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④全体评委应按照招标文件规定进行评标，一切认定事项应查有实据且不得弄虚作假。</w:t>
      </w:r>
    </w:p>
    <w:p w14:paraId="6FD060C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⑤评标中应充分发扬民主，推荐中标候选人或确定中标人后要服从评标报告。</w:t>
      </w:r>
    </w:p>
    <w:p w14:paraId="3C64A8E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※对违反评标纪律的评委，将取消其评委资格，对评标工作造成严重损失者将予以通报批评乃至追究法律责任。</w:t>
      </w:r>
    </w:p>
    <w:p w14:paraId="6860FE4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6、评标程序</w:t>
      </w:r>
    </w:p>
    <w:p w14:paraId="428125A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6.1评标前的准备工作</w:t>
      </w:r>
    </w:p>
    <w:p w14:paraId="3D27247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（1）全体评委应认真审阅招标文件，了解评委应履行或遵守的职责、义务和评标纪律。</w:t>
      </w:r>
    </w:p>
    <w:p w14:paraId="755FC1B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（2）参加评标委员会的采购人代表可对本项目的背景和采购需求进行介绍，介绍材料应以书面形式提交（随采购文件一并存档），介绍内容不得含有歧视性、倾向性意见，不得超出招标文件所述范围。</w:t>
      </w:r>
    </w:p>
    <w:p w14:paraId="1222D8B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6.2符合性审查</w:t>
      </w:r>
    </w:p>
    <w:p w14:paraId="17A3E19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（1）评标委员会依据招标文件的实质性要求，对通过资格审查的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进行符合性审查，以确定其是否满足招标文件的实质性要求。</w:t>
      </w:r>
    </w:p>
    <w:p w14:paraId="549ED6C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（2）满足招标文件的实质性要求指</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对招标文件实质性要求的响应不存在重大偏差或保留。</w:t>
      </w:r>
    </w:p>
    <w:p w14:paraId="6547C84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14:paraId="3AAB005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（4）评标委员会审查判断</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是否满足招标文件的实质性要求仅基于</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本身而不寻求其他的外部证据。未满足招标文件实质性要求的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将被评标委员会否决（即符合性审查不合格），被否决的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不能通过补充、修改（澄清、说明或补正）等方式重新成为满足招标文件实质性要求的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w:t>
      </w:r>
    </w:p>
    <w:p w14:paraId="38C3EDE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（5）评标委员会对所有投标人都执行相同的程序和标准。</w:t>
      </w:r>
    </w:p>
    <w:p w14:paraId="3F41FDA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（6）有下列情形之一的，符合性审查不合格：</w:t>
      </w:r>
    </w:p>
    <w:p w14:paraId="1A50D5A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①项目一般情形：</w:t>
      </w:r>
    </w:p>
    <w:p w14:paraId="3AAD0E89">
      <w:pPr>
        <w:pStyle w:val="24"/>
        <w:spacing w:line="360" w:lineRule="auto"/>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lang w:eastAsia="zh-CN"/>
        </w:rPr>
        <w:t>1</w:t>
      </w:r>
      <w:r>
        <w:rPr>
          <w:rFonts w:asciiTheme="minorEastAsia" w:hAnsiTheme="minorEastAsia" w:cstheme="minorEastAsia"/>
          <w:color w:val="auto"/>
          <w:sz w:val="24"/>
          <w:szCs w:val="24"/>
          <w:highlight w:val="none"/>
        </w:rPr>
        <w:t>：</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59"/>
        <w:gridCol w:w="2160"/>
        <w:gridCol w:w="6005"/>
      </w:tblGrid>
      <w:tr w14:paraId="0DEA6C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2E6F4BE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序号</w:t>
            </w:r>
          </w:p>
        </w:tc>
        <w:tc>
          <w:tcPr>
            <w:tcW w:w="2160" w:type="dxa"/>
          </w:tcPr>
          <w:p w14:paraId="3499CE37">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符合审查要求概况</w:t>
            </w:r>
          </w:p>
        </w:tc>
        <w:tc>
          <w:tcPr>
            <w:tcW w:w="6005" w:type="dxa"/>
          </w:tcPr>
          <w:p w14:paraId="3C90D1AF">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评审点具体描述</w:t>
            </w:r>
          </w:p>
        </w:tc>
      </w:tr>
      <w:tr w14:paraId="1E548F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501ABF8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1</w:t>
            </w:r>
          </w:p>
        </w:tc>
        <w:tc>
          <w:tcPr>
            <w:tcW w:w="2160" w:type="dxa"/>
          </w:tcPr>
          <w:p w14:paraId="45B2DD53">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情形1</w:t>
            </w:r>
          </w:p>
        </w:tc>
        <w:tc>
          <w:tcPr>
            <w:tcW w:w="6005" w:type="dxa"/>
          </w:tcPr>
          <w:p w14:paraId="7321CF86">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违反招标文件中载明“投标无效”条款的规定；</w:t>
            </w:r>
          </w:p>
        </w:tc>
      </w:tr>
      <w:tr w14:paraId="6A3C66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7EBB649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2</w:t>
            </w:r>
          </w:p>
        </w:tc>
        <w:tc>
          <w:tcPr>
            <w:tcW w:w="2160" w:type="dxa"/>
          </w:tcPr>
          <w:p w14:paraId="7B16BDD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情形2</w:t>
            </w:r>
          </w:p>
        </w:tc>
        <w:tc>
          <w:tcPr>
            <w:tcW w:w="6005" w:type="dxa"/>
          </w:tcPr>
          <w:p w14:paraId="4C783474">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属于招标文件第三章第10.12条规定的投标无效情形；</w:t>
            </w:r>
          </w:p>
        </w:tc>
      </w:tr>
      <w:tr w14:paraId="6BEEB5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0243C98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3</w:t>
            </w:r>
          </w:p>
        </w:tc>
        <w:tc>
          <w:tcPr>
            <w:tcW w:w="2160" w:type="dxa"/>
          </w:tcPr>
          <w:p w14:paraId="794523EF">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情形3</w:t>
            </w:r>
          </w:p>
        </w:tc>
        <w:tc>
          <w:tcPr>
            <w:tcW w:w="6005" w:type="dxa"/>
          </w:tcPr>
          <w:p w14:paraId="272F097F">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投标文件对招标文件实质性要求的响应存在重大偏离或保留。</w:t>
            </w:r>
          </w:p>
        </w:tc>
      </w:tr>
      <w:tr w14:paraId="2C7576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6B5A2A0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4</w:t>
            </w:r>
          </w:p>
        </w:tc>
        <w:tc>
          <w:tcPr>
            <w:tcW w:w="2160" w:type="dxa"/>
          </w:tcPr>
          <w:p w14:paraId="204C3FD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情形4</w:t>
            </w:r>
          </w:p>
        </w:tc>
        <w:tc>
          <w:tcPr>
            <w:tcW w:w="6005" w:type="dxa"/>
          </w:tcPr>
          <w:p w14:paraId="58335409">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资格及资信证明部分中出现报价部分的全部或部分的投标报价信息（或组成资料），资格审查不合格。</w:t>
            </w:r>
          </w:p>
        </w:tc>
      </w:tr>
      <w:tr w14:paraId="4BA87B1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1B718987">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5</w:t>
            </w:r>
          </w:p>
        </w:tc>
        <w:tc>
          <w:tcPr>
            <w:tcW w:w="2160" w:type="dxa"/>
          </w:tcPr>
          <w:p w14:paraId="082E4886">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情形5</w:t>
            </w:r>
          </w:p>
        </w:tc>
        <w:tc>
          <w:tcPr>
            <w:tcW w:w="6005" w:type="dxa"/>
          </w:tcPr>
          <w:p w14:paraId="6F2D7504">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违反招标文件中载明“投标无效”或“无效投标”条款的规定，资格性审查不合格。</w:t>
            </w:r>
          </w:p>
        </w:tc>
      </w:tr>
      <w:tr w14:paraId="37841E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2C925691">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6</w:t>
            </w:r>
          </w:p>
        </w:tc>
        <w:tc>
          <w:tcPr>
            <w:tcW w:w="2160" w:type="dxa"/>
          </w:tcPr>
          <w:p w14:paraId="12467173">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情形</w:t>
            </w:r>
            <w:r>
              <w:rPr>
                <w:rFonts w:hint="eastAsia" w:asciiTheme="minorEastAsia" w:hAnsiTheme="minorEastAsia" w:cstheme="minorEastAsia"/>
                <w:color w:val="auto"/>
                <w:sz w:val="24"/>
                <w:highlight w:val="none"/>
                <w:lang w:val="en-US" w:eastAsia="zh-CN"/>
              </w:rPr>
              <w:t>6</w:t>
            </w:r>
          </w:p>
        </w:tc>
        <w:tc>
          <w:tcPr>
            <w:tcW w:w="6005" w:type="dxa"/>
          </w:tcPr>
          <w:p w14:paraId="0931B7AD">
            <w:pPr>
              <w:keepNext w:val="0"/>
              <w:keepLines w:val="0"/>
              <w:suppressLineNumbers w:val="0"/>
              <w:spacing w:before="0" w:beforeAutospacing="0" w:after="0" w:afterAutospacing="0" w:line="360" w:lineRule="auto"/>
              <w:ind w:left="0" w:right="0"/>
              <w:jc w:val="left"/>
              <w:rPr>
                <w:rFonts w:hint="eastAsia" w:asciiTheme="minorEastAsia" w:hAnsiTheme="minorEastAsia" w:cstheme="minorEastAsia"/>
                <w:color w:val="auto"/>
                <w:sz w:val="24"/>
                <w:highlight w:val="none"/>
              </w:rPr>
            </w:pPr>
            <w:r>
              <w:rPr>
                <w:rFonts w:hint="eastAsia" w:ascii="宋体" w:hAnsi="宋体" w:eastAsia="宋体" w:cs="宋体"/>
                <w:b w:val="0"/>
                <w:bCs w:val="0"/>
                <w:color w:val="auto"/>
                <w:sz w:val="24"/>
                <w:highlight w:val="none"/>
              </w:rPr>
              <w:t>所有客观性证明材料（包括但不限于资格证明材料及</w:t>
            </w:r>
            <w:r>
              <w:rPr>
                <w:rFonts w:hint="eastAsia" w:ascii="宋体" w:hAnsi="宋体" w:eastAsia="宋体" w:cs="宋体"/>
                <w:b w:val="0"/>
                <w:bCs w:val="0"/>
                <w:color w:val="auto"/>
                <w:sz w:val="24"/>
                <w:highlight w:val="none"/>
                <w:lang w:eastAsia="zh-CN"/>
              </w:rPr>
              <w:t>磋商</w:t>
            </w:r>
            <w:r>
              <w:rPr>
                <w:rFonts w:hint="eastAsia" w:ascii="宋体" w:hAnsi="宋体" w:eastAsia="宋体" w:cs="宋体"/>
                <w:b w:val="0"/>
                <w:bCs w:val="0"/>
                <w:color w:val="auto"/>
                <w:sz w:val="24"/>
                <w:highlight w:val="none"/>
              </w:rPr>
              <w:t>文件中所要求提供的证明材料）复印件均需加盖</w:t>
            </w:r>
            <w:r>
              <w:rPr>
                <w:rFonts w:hint="eastAsia" w:ascii="宋体" w:hAnsi="宋体" w:eastAsia="宋体" w:cs="宋体"/>
                <w:b w:val="0"/>
                <w:bCs w:val="0"/>
                <w:color w:val="auto"/>
                <w:sz w:val="24"/>
                <w:highlight w:val="none"/>
                <w:lang w:eastAsia="zh-CN"/>
              </w:rPr>
              <w:t>投标人</w:t>
            </w:r>
            <w:r>
              <w:rPr>
                <w:rFonts w:hint="eastAsia" w:ascii="宋体" w:hAnsi="宋体" w:eastAsia="宋体" w:cs="宋体"/>
                <w:b w:val="0"/>
                <w:bCs w:val="0"/>
                <w:color w:val="auto"/>
                <w:sz w:val="24"/>
                <w:highlight w:val="none"/>
              </w:rPr>
              <w:t>公章，否则视为无效响应。</w:t>
            </w:r>
          </w:p>
        </w:tc>
      </w:tr>
      <w:tr w14:paraId="2A1887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59" w:type="dxa"/>
          </w:tcPr>
          <w:p w14:paraId="78F381D0">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7</w:t>
            </w:r>
          </w:p>
        </w:tc>
        <w:tc>
          <w:tcPr>
            <w:tcW w:w="2160" w:type="dxa"/>
          </w:tcPr>
          <w:p w14:paraId="7D010F72">
            <w:pPr>
              <w:keepNext w:val="0"/>
              <w:keepLines w:val="0"/>
              <w:suppressLineNumbers w:val="0"/>
              <w:spacing w:before="0" w:beforeAutospacing="0" w:after="0" w:afterAutospacing="0" w:line="360" w:lineRule="auto"/>
              <w:ind w:left="0" w:right="0"/>
              <w:jc w:val="center"/>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情形</w:t>
            </w:r>
            <w:r>
              <w:rPr>
                <w:rFonts w:hint="eastAsia" w:asciiTheme="minorEastAsia" w:hAnsiTheme="minorEastAsia" w:cstheme="minorEastAsia"/>
                <w:color w:val="auto"/>
                <w:sz w:val="24"/>
                <w:highlight w:val="none"/>
                <w:lang w:val="en-US" w:eastAsia="zh-CN"/>
              </w:rPr>
              <w:t>7</w:t>
            </w:r>
          </w:p>
        </w:tc>
        <w:tc>
          <w:tcPr>
            <w:tcW w:w="6005" w:type="dxa"/>
          </w:tcPr>
          <w:p w14:paraId="00426556">
            <w:pPr>
              <w:keepNext w:val="0"/>
              <w:keepLines w:val="0"/>
              <w:suppressLineNumbers w:val="0"/>
              <w:spacing w:before="0" w:beforeAutospacing="0" w:after="0" w:afterAutospacing="0" w:line="360" w:lineRule="auto"/>
              <w:ind w:left="0" w:right="0"/>
              <w:jc w:val="left"/>
              <w:rPr>
                <w:rFonts w:hint="eastAsia" w:ascii="宋体" w:hAnsi="宋体" w:eastAsia="宋体" w:cs="宋体"/>
                <w:b w:val="0"/>
                <w:bCs w:val="0"/>
                <w:color w:val="auto"/>
                <w:sz w:val="24"/>
                <w:highlight w:val="none"/>
                <w:lang w:eastAsia="zh-CN"/>
              </w:rPr>
            </w:pPr>
            <w:r>
              <w:rPr>
                <w:rFonts w:hint="eastAsia" w:ascii="宋体" w:hAnsi="宋体" w:eastAsia="宋体" w:cs="宋体"/>
                <w:b w:val="0"/>
                <w:bCs w:val="0"/>
                <w:color w:val="auto"/>
                <w:sz w:val="24"/>
                <w:highlight w:val="none"/>
                <w:lang w:eastAsia="zh-CN"/>
              </w:rPr>
              <w:t>未按照招标文件要求提供电子文件。</w:t>
            </w:r>
          </w:p>
        </w:tc>
      </w:tr>
    </w:tbl>
    <w:p w14:paraId="1C60DBF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②本项目规定的其他情形：</w:t>
      </w:r>
    </w:p>
    <w:p w14:paraId="27A4E262">
      <w:pPr>
        <w:pStyle w:val="24"/>
        <w:spacing w:line="360" w:lineRule="auto"/>
        <w:rPr>
          <w:rFonts w:hint="default" w:asciiTheme="minorEastAsia" w:hAnsiTheme="minorEastAsia" w:cstheme="minorEastAsia"/>
          <w:color w:val="auto"/>
          <w:sz w:val="24"/>
          <w:szCs w:val="24"/>
          <w:highlight w:val="none"/>
        </w:rPr>
      </w:pP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lang w:eastAsia="zh-CN"/>
        </w:rPr>
        <w:t>1</w:t>
      </w:r>
      <w:r>
        <w:rPr>
          <w:rFonts w:asciiTheme="minorEastAsia" w:hAnsiTheme="minorEastAsia" w:cstheme="minorEastAsia"/>
          <w:color w:val="auto"/>
          <w:sz w:val="24"/>
          <w:szCs w:val="24"/>
          <w:highlight w:val="none"/>
        </w:rPr>
        <w:t>：</w:t>
      </w:r>
    </w:p>
    <w:p w14:paraId="5ABC67EF">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技术符合性</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10"/>
        <w:gridCol w:w="7449"/>
      </w:tblGrid>
      <w:tr w14:paraId="36C941E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1" w:hRule="atLeast"/>
          <w:jc w:val="center"/>
        </w:trPr>
        <w:tc>
          <w:tcPr>
            <w:tcW w:w="2010" w:type="dxa"/>
          </w:tcPr>
          <w:p w14:paraId="17B974F1">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w:t>
            </w:r>
          </w:p>
        </w:tc>
        <w:tc>
          <w:tcPr>
            <w:tcW w:w="7449" w:type="dxa"/>
          </w:tcPr>
          <w:p w14:paraId="603C0EE5">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明细</w:t>
            </w:r>
          </w:p>
        </w:tc>
      </w:tr>
      <w:tr w14:paraId="4445D82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37" w:hRule="atLeast"/>
          <w:jc w:val="center"/>
        </w:trPr>
        <w:tc>
          <w:tcPr>
            <w:tcW w:w="2010" w:type="dxa"/>
          </w:tcPr>
          <w:p w14:paraId="64AB913F">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1</w:t>
            </w:r>
          </w:p>
        </w:tc>
        <w:tc>
          <w:tcPr>
            <w:tcW w:w="7449" w:type="dxa"/>
          </w:tcPr>
          <w:p w14:paraId="2027DEDC">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技术部分中出现报价部分的全部或部分的投标报价信息（或组成资料）的；</w:t>
            </w:r>
          </w:p>
        </w:tc>
      </w:tr>
      <w:tr w14:paraId="4297978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1" w:hRule="atLeast"/>
          <w:jc w:val="center"/>
        </w:trPr>
        <w:tc>
          <w:tcPr>
            <w:tcW w:w="2010" w:type="dxa"/>
          </w:tcPr>
          <w:p w14:paraId="484AB640">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2</w:t>
            </w:r>
          </w:p>
        </w:tc>
        <w:tc>
          <w:tcPr>
            <w:tcW w:w="7449" w:type="dxa"/>
          </w:tcPr>
          <w:p w14:paraId="426237AF">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招标文件规定的其他投标无效情形；</w:t>
            </w:r>
          </w:p>
        </w:tc>
      </w:tr>
      <w:tr w14:paraId="55144C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2010" w:type="dxa"/>
          </w:tcPr>
          <w:p w14:paraId="4D35DBCC">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3</w:t>
            </w:r>
          </w:p>
        </w:tc>
        <w:tc>
          <w:tcPr>
            <w:tcW w:w="7449" w:type="dxa"/>
          </w:tcPr>
          <w:p w14:paraId="64A58BEB">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rPr>
              <w:t>投标文件中提供虚假或失实资料的</w:t>
            </w:r>
            <w:r>
              <w:rPr>
                <w:rFonts w:hint="eastAsia" w:asciiTheme="minorEastAsia" w:hAnsiTheme="minorEastAsia" w:cstheme="minorEastAsia"/>
                <w:color w:val="auto"/>
                <w:sz w:val="24"/>
                <w:highlight w:val="none"/>
                <w:lang w:eastAsia="zh-CN"/>
              </w:rPr>
              <w:t>；</w:t>
            </w:r>
          </w:p>
        </w:tc>
      </w:tr>
      <w:tr w14:paraId="6084F9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6" w:hRule="atLeast"/>
          <w:jc w:val="center"/>
        </w:trPr>
        <w:tc>
          <w:tcPr>
            <w:tcW w:w="2010" w:type="dxa"/>
          </w:tcPr>
          <w:p w14:paraId="4AC80389">
            <w:pPr>
              <w:keepNext w:val="0"/>
              <w:keepLines w:val="0"/>
              <w:suppressLineNumbers w:val="0"/>
              <w:spacing w:before="0" w:beforeAutospacing="0" w:after="0" w:afterAutospacing="0" w:line="360" w:lineRule="auto"/>
              <w:ind w:left="0" w:right="0"/>
              <w:rPr>
                <w:rFonts w:hint="eastAsia" w:asciiTheme="minorEastAsia" w:hAnsi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4</w:t>
            </w:r>
          </w:p>
        </w:tc>
        <w:tc>
          <w:tcPr>
            <w:tcW w:w="7449" w:type="dxa"/>
          </w:tcPr>
          <w:p w14:paraId="43B7452C">
            <w:pPr>
              <w:keepNext w:val="0"/>
              <w:keepLines w:val="0"/>
              <w:suppressLineNumbers w:val="0"/>
              <w:spacing w:before="0" w:beforeAutospacing="0" w:after="0" w:afterAutospacing="0" w:line="360" w:lineRule="auto"/>
              <w:ind w:left="0" w:right="0"/>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招标文件《第五章 招标内容及要求》二、技术和服务要求中未标注评标项的技术参数</w:t>
            </w:r>
            <w:r>
              <w:rPr>
                <w:rFonts w:hint="eastAsia" w:asciiTheme="minorEastAsia" w:hAnsiTheme="minorEastAsia" w:cstheme="minorEastAsia"/>
                <w:color w:val="auto"/>
                <w:sz w:val="24"/>
                <w:highlight w:val="none"/>
                <w:lang w:eastAsia="zh-CN"/>
              </w:rPr>
              <w:t>有任何一项负偏离（或未响应）的</w:t>
            </w:r>
            <w:r>
              <w:rPr>
                <w:rFonts w:hint="eastAsia" w:asciiTheme="minorEastAsia" w:hAnsiTheme="minorEastAsia" w:cstheme="minorEastAsia"/>
                <w:color w:val="auto"/>
                <w:sz w:val="24"/>
                <w:highlight w:val="none"/>
                <w:lang w:val="en-US" w:eastAsia="zh-CN"/>
              </w:rPr>
              <w:t>。</w:t>
            </w:r>
          </w:p>
        </w:tc>
      </w:tr>
    </w:tbl>
    <w:p w14:paraId="734E6030">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商务符合性</w:t>
      </w:r>
    </w:p>
    <w:tbl>
      <w:tblPr>
        <w:tblStyle w:val="17"/>
        <w:tblW w:w="0" w:type="auto"/>
        <w:tblInd w:w="26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10"/>
        <w:gridCol w:w="7404"/>
      </w:tblGrid>
      <w:tr w14:paraId="376939D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trPr>
        <w:tc>
          <w:tcPr>
            <w:tcW w:w="2010" w:type="dxa"/>
          </w:tcPr>
          <w:p w14:paraId="387BE04E">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w:t>
            </w:r>
          </w:p>
        </w:tc>
        <w:tc>
          <w:tcPr>
            <w:tcW w:w="7404" w:type="dxa"/>
          </w:tcPr>
          <w:p w14:paraId="08764582">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明细</w:t>
            </w:r>
          </w:p>
        </w:tc>
      </w:tr>
      <w:tr w14:paraId="6C5327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8" w:hRule="atLeast"/>
        </w:trPr>
        <w:tc>
          <w:tcPr>
            <w:tcW w:w="2010" w:type="dxa"/>
          </w:tcPr>
          <w:p w14:paraId="643572DB">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color w:val="auto"/>
                <w:highlight w:val="none"/>
                <w:lang w:val="en-US" w:eastAsia="zh-CN"/>
              </w:rPr>
              <w:t>1</w:t>
            </w:r>
          </w:p>
        </w:tc>
        <w:tc>
          <w:tcPr>
            <w:tcW w:w="7404" w:type="dxa"/>
          </w:tcPr>
          <w:p w14:paraId="688120C3">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商务部分中出现报价部分的全部或部分的投标报价信息（或组成资料）的；</w:t>
            </w:r>
          </w:p>
        </w:tc>
      </w:tr>
      <w:tr w14:paraId="58D0A0A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28" w:hRule="atLeast"/>
        </w:trPr>
        <w:tc>
          <w:tcPr>
            <w:tcW w:w="2010" w:type="dxa"/>
          </w:tcPr>
          <w:p w14:paraId="3FF53D0F">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2</w:t>
            </w:r>
          </w:p>
        </w:tc>
        <w:tc>
          <w:tcPr>
            <w:tcW w:w="7404" w:type="dxa"/>
          </w:tcPr>
          <w:p w14:paraId="2813F9E6">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eastAsia="zh-CN"/>
              </w:rPr>
              <w:t>招标文件《</w:t>
            </w:r>
            <w:r>
              <w:rPr>
                <w:rFonts w:hint="eastAsia" w:asciiTheme="minorEastAsia" w:hAnsiTheme="minorEastAsia" w:cstheme="minorEastAsia"/>
                <w:color w:val="auto"/>
                <w:sz w:val="24"/>
                <w:highlight w:val="none"/>
              </w:rPr>
              <w:t>第五章 招标内容及要求</w:t>
            </w:r>
            <w:r>
              <w:rPr>
                <w:rFonts w:hint="eastAsia" w:asciiTheme="minorEastAsia" w:hAnsiTheme="minorEastAsia" w:cstheme="minorEastAsia"/>
                <w:color w:val="auto"/>
                <w:sz w:val="24"/>
                <w:highlight w:val="none"/>
                <w:lang w:eastAsia="zh-CN"/>
              </w:rPr>
              <w:t>》三、商务要求未逐项响应或有任何一项负偏离的；</w:t>
            </w:r>
          </w:p>
        </w:tc>
      </w:tr>
      <w:tr w14:paraId="10DDDC7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1" w:hRule="atLeast"/>
        </w:trPr>
        <w:tc>
          <w:tcPr>
            <w:tcW w:w="2010" w:type="dxa"/>
          </w:tcPr>
          <w:p w14:paraId="6FA94007">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3</w:t>
            </w:r>
          </w:p>
        </w:tc>
        <w:tc>
          <w:tcPr>
            <w:tcW w:w="7404" w:type="dxa"/>
          </w:tcPr>
          <w:p w14:paraId="6803E601">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招标文件规定的其他投标无效情形。</w:t>
            </w:r>
          </w:p>
        </w:tc>
      </w:tr>
    </w:tbl>
    <w:p w14:paraId="034D6C76">
      <w:pPr>
        <w:pStyle w:val="24"/>
        <w:spacing w:line="360" w:lineRule="auto"/>
        <w:rPr>
          <w:rFonts w:asciiTheme="minorEastAsia" w:hAnsiTheme="minorEastAsia" w:cstheme="minorEastAsia"/>
          <w:b w:val="0"/>
          <w:bCs w:val="0"/>
          <w:color w:val="auto"/>
          <w:sz w:val="24"/>
          <w:szCs w:val="24"/>
          <w:highlight w:val="none"/>
        </w:rPr>
      </w:pPr>
      <w:r>
        <w:rPr>
          <w:rFonts w:asciiTheme="minorEastAsia" w:hAnsiTheme="minorEastAsia" w:cstheme="minorEastAsia"/>
          <w:b w:val="0"/>
          <w:bCs w:val="0"/>
          <w:color w:val="auto"/>
          <w:sz w:val="24"/>
          <w:szCs w:val="24"/>
          <w:highlight w:val="none"/>
        </w:rPr>
        <w:t>价格符合性：</w:t>
      </w:r>
    </w:p>
    <w:tbl>
      <w:tblPr>
        <w:tblStyle w:val="17"/>
        <w:tblW w:w="0" w:type="auto"/>
        <w:tblInd w:w="264"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10"/>
        <w:gridCol w:w="7404"/>
      </w:tblGrid>
      <w:tr w14:paraId="0F0AB6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69" w:hRule="atLeast"/>
        </w:trPr>
        <w:tc>
          <w:tcPr>
            <w:tcW w:w="2010" w:type="dxa"/>
          </w:tcPr>
          <w:p w14:paraId="25F1B272">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情形</w:t>
            </w:r>
          </w:p>
        </w:tc>
        <w:tc>
          <w:tcPr>
            <w:tcW w:w="7404" w:type="dxa"/>
          </w:tcPr>
          <w:p w14:paraId="41333977">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明细</w:t>
            </w:r>
          </w:p>
        </w:tc>
      </w:tr>
      <w:tr w14:paraId="6186A8F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1" w:hRule="atLeast"/>
        </w:trPr>
        <w:tc>
          <w:tcPr>
            <w:tcW w:w="2010" w:type="dxa"/>
          </w:tcPr>
          <w:p w14:paraId="74F3ADC3">
            <w:pPr>
              <w:keepNext w:val="0"/>
              <w:keepLines w:val="0"/>
              <w:suppressLineNumbers w:val="0"/>
              <w:spacing w:before="0" w:beforeAutospacing="0" w:after="0" w:afterAutospacing="0" w:line="360" w:lineRule="auto"/>
              <w:ind w:left="0" w:right="0"/>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rPr>
              <w:t>其他情形</w:t>
            </w:r>
            <w:r>
              <w:rPr>
                <w:rFonts w:hint="eastAsia" w:asciiTheme="minorEastAsia" w:hAnsiTheme="minorEastAsia" w:cstheme="minorEastAsia"/>
                <w:color w:val="auto"/>
                <w:sz w:val="24"/>
                <w:highlight w:val="none"/>
                <w:lang w:val="en-US" w:eastAsia="zh-CN"/>
              </w:rPr>
              <w:t>1</w:t>
            </w:r>
          </w:p>
        </w:tc>
        <w:tc>
          <w:tcPr>
            <w:tcW w:w="7404" w:type="dxa"/>
          </w:tcPr>
          <w:p w14:paraId="15EDC460">
            <w:pPr>
              <w:keepNext w:val="0"/>
              <w:keepLines w:val="0"/>
              <w:suppressLineNumbers w:val="0"/>
              <w:spacing w:before="0" w:beforeAutospacing="0" w:after="0" w:afterAutospacing="0" w:line="360" w:lineRule="auto"/>
              <w:ind w:left="0" w:right="0"/>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招标文件规定的其他投标无效情形。</w:t>
            </w:r>
          </w:p>
        </w:tc>
      </w:tr>
    </w:tbl>
    <w:p w14:paraId="494A330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6.3澄清有关问题</w:t>
      </w:r>
    </w:p>
    <w:p w14:paraId="6FA3D67E">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（1）对通过符合性审查的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中含义不明确、同类问题表述不一致或有明显文字和计算错误的内容，评标委员会将以书面形式要求投标人作出必要的澄清、说明或补正。</w:t>
      </w:r>
    </w:p>
    <w:p w14:paraId="67DA048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（2）投标人的澄清、说明或补正应由投标人代表在评标委员会规定的时间内（一般在半个小时左右，具体要求将根据实际情况在澄清通知中约定）以书面形式向评标委员会提交，前述澄清、说明或补正不得超出</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的范围或改变</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的实质性内容。若投标人未按照前述规定向评标委员会提交书面澄清、说明或补正，则评标委员会将按照不利于投标人的内容进行认定。</w:t>
      </w:r>
    </w:p>
    <w:p w14:paraId="0B600D9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报价出现前后不一致的，除招标文件另有规定外，按照下列规定修正：</w:t>
      </w:r>
    </w:p>
    <w:p w14:paraId="464B111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①开标一览表内容与</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中相应内容不一致的，以开标一览表为准；</w:t>
      </w:r>
    </w:p>
    <w:p w14:paraId="3F840D0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②大写金额和小写金额不一致的，以大写金额为准；</w:t>
      </w:r>
    </w:p>
    <w:p w14:paraId="684DE95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③单价金额小数点或百分比有明显错位的，以开标一览表的总价为准，并修改单价；</w:t>
      </w:r>
    </w:p>
    <w:p w14:paraId="2CAD2D7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④总价金额与按照单价汇总金额不一致的，以单价金额计算结果为准。</w:t>
      </w:r>
    </w:p>
    <w:p w14:paraId="7AB5EEFA">
      <w:pPr>
        <w:pStyle w:val="24"/>
        <w:spacing w:line="360" w:lineRule="auto"/>
        <w:ind w:left="479" w:leftChars="228" w:firstLine="65" w:firstLineChars="27"/>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※同时出现两种以上不一致的，按照前款规定的顺序修正。修正后的报价应按照本章第6.3条第（1）、（2）款规定经投标人确认后产生约束力，投标人不确认的，其投标无效。</w:t>
      </w:r>
    </w:p>
    <w:p w14:paraId="2A3EC3D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（4）关于细微偏差</w:t>
      </w:r>
    </w:p>
    <w:p w14:paraId="072FC9D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①细微偏差指</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实质性响应招标文件要求，但在个别地方存在漏项或提供了不完整的技术信息和数据等情况，并且补正这些遗漏或不完整不会对其他投标人造成不公平的结果。细微偏差不影响</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的有效性。</w:t>
      </w:r>
    </w:p>
    <w:p w14:paraId="5BD3F9F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②评标委员会将以书面形式要求存在细微偏差的投标人在评标委员会规定的时间内予以补正。若无法补正，则评标委员会将按照不利于投标人的内容进行认定。</w:t>
      </w:r>
    </w:p>
    <w:p w14:paraId="579D81E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（5）关于投标描述（即</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中描述的内容）</w:t>
      </w:r>
    </w:p>
    <w:p w14:paraId="0064E02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①投标描述前后不一致且不涉及证明材料的：按照本章第6.3条第（1）、（2）款规定执行。</w:t>
      </w:r>
    </w:p>
    <w:p w14:paraId="2AC4F69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②投标描述与证明材料不一致或多份证明材料之间不一致的：</w:t>
      </w:r>
    </w:p>
    <w:p w14:paraId="06F3C3D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a.评标委员会将要求投标人进行书面澄清，并按照不利于投标人的内容进行评标。</w:t>
      </w:r>
    </w:p>
    <w:p w14:paraId="6A9AFBE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14:paraId="339B588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14:paraId="64F4874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6.4比较与评价</w:t>
      </w:r>
    </w:p>
    <w:p w14:paraId="24413E41">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（1）按照本章第7条载明的评标方法和标准，对符合性审查合格的</w:t>
      </w:r>
      <w:r>
        <w:rPr>
          <w:rFonts w:asciiTheme="minorEastAsia" w:hAnsiTheme="minorEastAsia" w:cstheme="minorEastAsia"/>
          <w:b/>
          <w:color w:val="auto"/>
          <w:sz w:val="24"/>
          <w:szCs w:val="24"/>
          <w:highlight w:val="none"/>
          <w:lang w:eastAsia="zh-CN"/>
        </w:rPr>
        <w:t>投标文件</w:t>
      </w:r>
      <w:r>
        <w:rPr>
          <w:rFonts w:asciiTheme="minorEastAsia" w:hAnsiTheme="minorEastAsia" w:cstheme="minorEastAsia"/>
          <w:b/>
          <w:color w:val="auto"/>
          <w:sz w:val="24"/>
          <w:szCs w:val="24"/>
          <w:highlight w:val="none"/>
        </w:rPr>
        <w:t>进行比较与评价。</w:t>
      </w:r>
    </w:p>
    <w:p w14:paraId="3301399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（2）关于相同品牌产品（政府采购服务类项目不适用本条款规定</w:t>
      </w:r>
      <w:r>
        <w:rPr>
          <w:rFonts w:hint="eastAsia" w:asciiTheme="minorEastAsia" w:hAnsiTheme="minorEastAsia" w:cstheme="minorEastAsia"/>
          <w:b/>
          <w:color w:val="auto"/>
          <w:sz w:val="24"/>
          <w:szCs w:val="24"/>
          <w:highlight w:val="none"/>
          <w:lang w:eastAsia="zh-CN"/>
        </w:rPr>
        <w:t>：本项目采购包</w:t>
      </w:r>
      <w:r>
        <w:rPr>
          <w:rFonts w:hint="eastAsia" w:asciiTheme="minorEastAsia" w:hAnsiTheme="minorEastAsia" w:cstheme="minorEastAsia"/>
          <w:b/>
          <w:color w:val="auto"/>
          <w:sz w:val="24"/>
          <w:szCs w:val="24"/>
          <w:highlight w:val="none"/>
          <w:lang w:val="en-US" w:eastAsia="zh-CN"/>
        </w:rPr>
        <w:t>1不</w:t>
      </w:r>
      <w:r>
        <w:rPr>
          <w:rFonts w:hint="eastAsia" w:asciiTheme="minorEastAsia" w:hAnsiTheme="minorEastAsia" w:cstheme="minorEastAsia"/>
          <w:b/>
          <w:color w:val="auto"/>
          <w:sz w:val="24"/>
          <w:szCs w:val="24"/>
          <w:highlight w:val="none"/>
          <w:lang w:eastAsia="zh-CN"/>
        </w:rPr>
        <w:t>适用该条款</w:t>
      </w:r>
      <w:r>
        <w:rPr>
          <w:rFonts w:asciiTheme="minorEastAsia" w:hAnsiTheme="minorEastAsia" w:cstheme="minorEastAsia"/>
          <w:b/>
          <w:color w:val="auto"/>
          <w:sz w:val="24"/>
          <w:szCs w:val="24"/>
          <w:highlight w:val="none"/>
        </w:rPr>
        <w:t>）</w:t>
      </w:r>
    </w:p>
    <w:p w14:paraId="6F04848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14:paraId="0FEB5C78">
      <w:pPr>
        <w:pStyle w:val="24"/>
        <w:spacing w:line="360" w:lineRule="auto"/>
        <w:ind w:firstLine="480"/>
        <w:jc w:val="both"/>
        <w:rPr>
          <w:rFonts w:hint="default" w:asciiTheme="minorEastAsia" w:hAnsi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a.招标文件规定的方式：</w:t>
      </w:r>
      <w:r>
        <w:rPr>
          <w:rFonts w:asciiTheme="minorEastAsia" w:hAnsiTheme="minorEastAsia" w:cstheme="minorEastAsia"/>
          <w:b/>
          <w:color w:val="auto"/>
          <w:sz w:val="24"/>
          <w:szCs w:val="24"/>
          <w:highlight w:val="none"/>
          <w:lang w:eastAsia="zh-CN"/>
        </w:rPr>
        <w:t>无</w:t>
      </w:r>
    </w:p>
    <w:p w14:paraId="72D1ACD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b.招标文件未规定的，采取随机抽取方式确定，其他投标无效。</w:t>
      </w:r>
    </w:p>
    <w:p w14:paraId="5F5718C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②采用综合评分法的，</w:t>
      </w:r>
      <w:r>
        <w:rPr>
          <w:rFonts w:hint="eastAsia" w:asciiTheme="minorEastAsia" w:hAnsiTheme="minorEastAsia" w:cstheme="minorEastAsia"/>
          <w:b/>
          <w:color w:val="auto"/>
          <w:sz w:val="24"/>
          <w:szCs w:val="24"/>
          <w:highlight w:val="none"/>
          <w:lang w:eastAsia="zh-CN"/>
        </w:rPr>
        <w:t>核心产品</w:t>
      </w:r>
      <w:r>
        <w:rPr>
          <w:rFonts w:asciiTheme="minorEastAsia" w:hAnsiTheme="minorEastAsia" w:cstheme="minorEastAsia"/>
          <w:b/>
          <w:color w:val="auto"/>
          <w:sz w:val="24"/>
          <w:szCs w:val="24"/>
          <w:highlight w:val="none"/>
        </w:rPr>
        <w:t>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14:paraId="691ECFA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a.招标文件规定的方式：</w:t>
      </w:r>
    </w:p>
    <w:p w14:paraId="4B30B724">
      <w:pPr>
        <w:pStyle w:val="24"/>
        <w:spacing w:line="360" w:lineRule="auto"/>
        <w:ind w:firstLine="482" w:firstLineChars="200"/>
        <w:rPr>
          <w:rFonts w:asciiTheme="minorEastAsia" w:hAnsiTheme="minorEastAsia" w:cstheme="minorEastAsia"/>
          <w:b/>
          <w:color w:val="auto"/>
          <w:sz w:val="24"/>
          <w:szCs w:val="24"/>
          <w:highlight w:val="none"/>
        </w:rPr>
      </w:pPr>
      <w:r>
        <w:rPr>
          <w:rFonts w:hint="eastAsia" w:asciiTheme="minorEastAsia" w:hAnsiTheme="minorEastAsia" w:cstheme="minorEastAsia"/>
          <w:b/>
          <w:color w:val="auto"/>
          <w:sz w:val="24"/>
          <w:szCs w:val="24"/>
          <w:highlight w:val="none"/>
          <w:lang w:eastAsia="zh-CN"/>
        </w:rPr>
        <w:t>采购包</w:t>
      </w:r>
      <w:r>
        <w:rPr>
          <w:rFonts w:hint="eastAsia" w:asciiTheme="minorEastAsia" w:hAnsiTheme="minorEastAsia" w:cstheme="minorEastAsia"/>
          <w:b/>
          <w:color w:val="auto"/>
          <w:sz w:val="24"/>
          <w:szCs w:val="24"/>
          <w:highlight w:val="none"/>
          <w:lang w:val="en-US" w:eastAsia="zh-CN"/>
        </w:rPr>
        <w:t>1：</w:t>
      </w:r>
      <w:r>
        <w:rPr>
          <w:rFonts w:hint="eastAsia" w:asciiTheme="minorEastAsia" w:hAnsiTheme="minorEastAsia" w:cstheme="minorEastAsia"/>
          <w:b/>
          <w:color w:val="auto"/>
          <w:sz w:val="24"/>
          <w:szCs w:val="24"/>
          <w:highlight w:val="none"/>
        </w:rPr>
        <w:t>若有相同的最高得分，则其中投标报价低的投标人将被排序在前；若有相同的最高得分且投标报价相同的，则按技术部分得分从高到低顺序进行排列，技术部分得分最高的投标人将被排序在前，如技术商务指标均无法区分排序的，应优先采购列入节能清单或环保清单的产品（列入多项清单的产品优先于只列入其中一个清单的产品，认证数量多的优先于认证数量少的），若还是无法排出先后顺序的，以随机抽取方式确定。</w:t>
      </w:r>
    </w:p>
    <w:p w14:paraId="01324BF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b.招标文件未规定的，采取随机抽取方式确定，其他同品牌投标人不作为中标候选人。</w:t>
      </w:r>
    </w:p>
    <w:p w14:paraId="7698F29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③非单一产品采购项目，多家投标人提供的核心产品品牌相同的，按照本章第6.4条第（2）款第①、②规定处理。</w:t>
      </w:r>
    </w:p>
    <w:p w14:paraId="3DC5A84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（3）漏（缺）项</w:t>
      </w:r>
    </w:p>
    <w:p w14:paraId="4C74F5B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①招标文件中要求列入报价的费用（含配置、功能），漏（缺）项的报价视为已经包括在投标总价中。</w:t>
      </w:r>
    </w:p>
    <w:p w14:paraId="5FABF1F0">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②对多报项及赠送项的价格评标时不予核减，全部进入评标价评议。</w:t>
      </w:r>
    </w:p>
    <w:p w14:paraId="557A025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6.5推荐中标候选人：详见本章第7.2条规定。</w:t>
      </w:r>
    </w:p>
    <w:p w14:paraId="76E34B06">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6.6编写评标报告</w:t>
      </w:r>
    </w:p>
    <w:p w14:paraId="782D2C6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（1）评标报告由评标委员会负责编写。</w:t>
      </w:r>
    </w:p>
    <w:p w14:paraId="1E82E22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（2）评标报告应包括下列内容：</w:t>
      </w:r>
    </w:p>
    <w:p w14:paraId="601DFBED">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①招标公告刊登的媒体名称、开标日期和地点；</w:t>
      </w:r>
    </w:p>
    <w:p w14:paraId="4391FD9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②投标人名单和评标委员会成员名单；</w:t>
      </w:r>
    </w:p>
    <w:p w14:paraId="22FAA3B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③评标方法和标准；</w:t>
      </w:r>
    </w:p>
    <w:p w14:paraId="7B9D4EA3">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④开标记录和评标情况及说明，包括无效投标人名单及原因；</w:t>
      </w:r>
    </w:p>
    <w:p w14:paraId="712B17D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⑤评标结果，包括中标候选人名单或确定的中标人；</w:t>
      </w:r>
    </w:p>
    <w:p w14:paraId="047DAD1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⑥其他需要说明的情况，包括但不限于：评标过程中投标人的澄清、说明或补正，评委更换等。</w:t>
      </w:r>
    </w:p>
    <w:p w14:paraId="089F904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14:paraId="75E57E1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6.8评委对需要共同认定的事项存在争议的，应按照少数服从多数的原则进行认定。持不同意见的评委应在评标报告上签署不同意见及理由，否则视为同意评标报告。</w:t>
      </w:r>
    </w:p>
    <w:p w14:paraId="3AA1353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6.9在评标过程中发现投标人有下列情形之一的，评标委员会应认定其投标无效，并书面报告本项目监督管理部门：</w:t>
      </w:r>
    </w:p>
    <w:p w14:paraId="187F109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（1）恶意串通（包括但不限于招标文件第三章第9.7条规定情形）；</w:t>
      </w:r>
    </w:p>
    <w:p w14:paraId="2AB1F1D5">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（2）妨碍其他投标人的竞争行为；</w:t>
      </w:r>
    </w:p>
    <w:p w14:paraId="190BCA0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（3）损害采购人或其他投标人的合法权益。</w:t>
      </w:r>
    </w:p>
    <w:p w14:paraId="69631C7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6.10评标过程中，有下列情形之一的，应予废标：</w:t>
      </w:r>
    </w:p>
    <w:p w14:paraId="34FB90F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（1）符合性审查合格的投标人不足三家的；</w:t>
      </w:r>
    </w:p>
    <w:p w14:paraId="20E5F71B">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（2）有关法律、法规和规章规定废标的情形。</w:t>
      </w:r>
    </w:p>
    <w:p w14:paraId="0D21513A">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※若废标，则本次采购活动结束，</w:t>
      </w:r>
      <w:r>
        <w:rPr>
          <w:rFonts w:hint="eastAsia" w:asciiTheme="minorEastAsia" w:hAnsiTheme="minorEastAsia" w:cstheme="minorEastAsia"/>
          <w:b/>
          <w:color w:val="auto"/>
          <w:sz w:val="24"/>
          <w:szCs w:val="24"/>
          <w:highlight w:val="none"/>
          <w:lang w:eastAsia="zh-CN"/>
        </w:rPr>
        <w:t>福建省鸿远招标有限公司</w:t>
      </w:r>
      <w:r>
        <w:rPr>
          <w:rFonts w:asciiTheme="minorEastAsia" w:hAnsiTheme="minorEastAsia" w:cstheme="minorEastAsia"/>
          <w:b/>
          <w:color w:val="auto"/>
          <w:sz w:val="24"/>
          <w:szCs w:val="24"/>
          <w:highlight w:val="none"/>
        </w:rPr>
        <w:t>将依法组织后续采购活动（包括但不限于：重新招标、采用其他方式采购等）。</w:t>
      </w:r>
    </w:p>
    <w:p w14:paraId="3DDF50C7">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7、评标方法和标准</w:t>
      </w:r>
    </w:p>
    <w:p w14:paraId="5A9D2088">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7.1评标方法：</w:t>
      </w:r>
    </w:p>
    <w:p w14:paraId="675A3B2B">
      <w:pPr>
        <w:pStyle w:val="24"/>
        <w:spacing w:line="360" w:lineRule="auto"/>
        <w:ind w:firstLine="482"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：综合评分法</w:t>
      </w:r>
    </w:p>
    <w:p w14:paraId="3C09927F">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7.2评标标准</w:t>
      </w:r>
    </w:p>
    <w:p w14:paraId="19C00947">
      <w:pPr>
        <w:pStyle w:val="24"/>
        <w:spacing w:line="360" w:lineRule="auto"/>
        <w:ind w:firstLine="482"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采购包</w:t>
      </w:r>
      <w:r>
        <w:rPr>
          <w:rFonts w:asciiTheme="minorEastAsia" w:hAnsiTheme="minorEastAsia" w:cstheme="minorEastAsia"/>
          <w:b/>
          <w:color w:val="auto"/>
          <w:sz w:val="24"/>
          <w:szCs w:val="24"/>
          <w:highlight w:val="none"/>
          <w:lang w:eastAsia="zh-CN"/>
        </w:rPr>
        <w:t>1</w:t>
      </w:r>
      <w:r>
        <w:rPr>
          <w:rFonts w:asciiTheme="minorEastAsia" w:hAnsiTheme="minorEastAsia" w:cstheme="minorEastAsia"/>
          <w:b/>
          <w:color w:val="auto"/>
          <w:sz w:val="24"/>
          <w:szCs w:val="24"/>
          <w:highlight w:val="none"/>
        </w:rPr>
        <w:t>：综合评分法</w:t>
      </w:r>
    </w:p>
    <w:p w14:paraId="208C793A">
      <w:pPr>
        <w:pStyle w:val="24"/>
        <w:spacing w:line="360" w:lineRule="auto"/>
        <w:ind w:firstLine="482" w:firstLineChars="200"/>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（1）投标文件满足招标文件全部实质性要求，且按照评审因素的量化指标评审得分（即评标总得分）最高的投标人为中标候选人。</w:t>
      </w:r>
    </w:p>
    <w:p w14:paraId="37078FCD">
      <w:pPr>
        <w:pStyle w:val="24"/>
        <w:spacing w:line="360" w:lineRule="auto"/>
        <w:ind w:firstLine="482" w:firstLineChars="200"/>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2）每个投标人的评标总得分FA＝F1×A1＋F2×A2＋F3×A3，其中：F1指价格项评审因素得分、F2指技术项评审因素得分、F3指商务项评审因素得分，A1指价格项评审因素所占的权重、A2指技术项评审因素所占的权重、A3指商务项评审因素所占的权重，A1+A2+A3=F1×A1＋F2×A2＋F3×A3=100分</w:t>
      </w:r>
      <w:r>
        <w:rPr>
          <w:rFonts w:hint="eastAsia" w:asciiTheme="minorEastAsia" w:hAnsiTheme="minorEastAsia" w:cstheme="minorEastAsia"/>
          <w:b/>
          <w:color w:val="auto"/>
          <w:sz w:val="24"/>
          <w:szCs w:val="24"/>
          <w:highlight w:val="none"/>
          <w:lang w:eastAsia="zh-CN"/>
        </w:rPr>
        <w:t>。</w:t>
      </w:r>
    </w:p>
    <w:p w14:paraId="0159648B">
      <w:pPr>
        <w:pStyle w:val="24"/>
        <w:spacing w:line="360" w:lineRule="auto"/>
        <w:ind w:firstLine="482" w:firstLineChars="200"/>
        <w:rPr>
          <w:rFonts w:hint="default" w:asciiTheme="minorEastAsia" w:hAnsiTheme="minorEastAsia" w:cstheme="minorEastAsia"/>
          <w:color w:val="auto"/>
          <w:sz w:val="24"/>
          <w:szCs w:val="24"/>
          <w:highlight w:val="none"/>
        </w:rPr>
      </w:pPr>
      <w:r>
        <w:rPr>
          <w:rFonts w:hint="eastAsia" w:asciiTheme="minorEastAsia" w:hAnsiTheme="minorEastAsia" w:cstheme="minorEastAsia"/>
          <w:b/>
          <w:color w:val="auto"/>
          <w:sz w:val="24"/>
          <w:szCs w:val="24"/>
          <w:highlight w:val="none"/>
          <w:lang w:eastAsia="zh-CN"/>
        </w:rPr>
        <w:t>（</w:t>
      </w:r>
      <w:r>
        <w:rPr>
          <w:rFonts w:hint="eastAsia" w:asciiTheme="minorEastAsia" w:hAnsiTheme="minorEastAsia" w:cstheme="minorEastAsia"/>
          <w:b/>
          <w:color w:val="auto"/>
          <w:sz w:val="24"/>
          <w:szCs w:val="24"/>
          <w:highlight w:val="none"/>
          <w:lang w:val="en-US" w:eastAsia="zh-CN"/>
        </w:rPr>
        <w:t>3</w:t>
      </w:r>
      <w:r>
        <w:rPr>
          <w:rFonts w:hint="eastAsia" w:asciiTheme="minorEastAsia" w:hAnsiTheme="minorEastAsia" w:cstheme="minorEastAsia"/>
          <w:b/>
          <w:color w:val="auto"/>
          <w:sz w:val="24"/>
          <w:szCs w:val="24"/>
          <w:highlight w:val="none"/>
          <w:lang w:eastAsia="zh-CN"/>
        </w:rPr>
        <w:t>）</w:t>
      </w:r>
      <w:r>
        <w:rPr>
          <w:rFonts w:asciiTheme="minorEastAsia" w:hAnsiTheme="minorEastAsia" w:cstheme="minorEastAsia"/>
          <w:b/>
          <w:color w:val="auto"/>
          <w:sz w:val="24"/>
          <w:szCs w:val="24"/>
          <w:highlight w:val="none"/>
        </w:rPr>
        <w:t>各项评审因素的设置如下：</w:t>
      </w:r>
    </w:p>
    <w:p w14:paraId="27B25C2F">
      <w:pPr>
        <w:pStyle w:val="24"/>
        <w:spacing w:line="360" w:lineRule="auto"/>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价格项（F1×A1）满分为</w:t>
      </w:r>
      <w:r>
        <w:rPr>
          <w:rFonts w:hint="eastAsia" w:asciiTheme="minorEastAsia" w:hAnsiTheme="minorEastAsia" w:cstheme="minorEastAsia"/>
          <w:b/>
          <w:color w:val="auto"/>
          <w:sz w:val="24"/>
          <w:szCs w:val="24"/>
          <w:highlight w:val="none"/>
          <w:lang w:val="en-US" w:eastAsia="zh-CN"/>
        </w:rPr>
        <w:t>15</w:t>
      </w:r>
      <w:r>
        <w:rPr>
          <w:rFonts w:asciiTheme="minorEastAsia" w:hAnsiTheme="minorEastAsia" w:cstheme="minorEastAsia"/>
          <w:b/>
          <w:color w:val="auto"/>
          <w:sz w:val="24"/>
          <w:szCs w:val="24"/>
          <w:highlight w:val="none"/>
        </w:rPr>
        <w:t>.00分</w:t>
      </w:r>
    </w:p>
    <w:p w14:paraId="161008AE">
      <w:pPr>
        <w:pStyle w:val="24"/>
        <w:spacing w:line="360" w:lineRule="auto"/>
        <w:rPr>
          <w:rFonts w:hint="default" w:asciiTheme="minorEastAsia" w:hAnsiTheme="minorEastAsia" w:eastAsiaTheme="minorEastAsia" w:cstheme="minorEastAsia"/>
          <w:color w:val="auto"/>
          <w:sz w:val="24"/>
          <w:szCs w:val="24"/>
          <w:highlight w:val="none"/>
          <w:lang w:val="en-US" w:eastAsia="zh-CN"/>
        </w:rPr>
      </w:pPr>
      <w:r>
        <w:rPr>
          <w:rFonts w:asciiTheme="minorEastAsia" w:hAnsiTheme="minorEastAsia" w:cstheme="minorEastAsia"/>
          <w:b/>
          <w:color w:val="auto"/>
          <w:sz w:val="24"/>
          <w:szCs w:val="24"/>
          <w:highlight w:val="none"/>
        </w:rPr>
        <w:t>投标报价得分＝（评标基准价/投标报价）×价格分值（注：满足招标文件要求且投标价格</w:t>
      </w:r>
      <w:r>
        <w:rPr>
          <w:rFonts w:hint="eastAsia" w:asciiTheme="minorEastAsia" w:hAnsiTheme="minorEastAsia" w:cstheme="minorEastAsia"/>
          <w:b/>
          <w:color w:val="auto"/>
          <w:sz w:val="24"/>
          <w:szCs w:val="24"/>
          <w:highlight w:val="none"/>
          <w:lang w:eastAsia="zh-CN"/>
        </w:rPr>
        <w:t>最低</w:t>
      </w:r>
      <w:r>
        <w:rPr>
          <w:rFonts w:asciiTheme="minorEastAsia" w:hAnsiTheme="minorEastAsia" w:cstheme="minorEastAsia"/>
          <w:b/>
          <w:color w:val="auto"/>
          <w:sz w:val="24"/>
          <w:szCs w:val="24"/>
          <w:highlight w:val="none"/>
        </w:rPr>
        <w:t>的投标报价为评标基准价。）最低报价不是中标的唯一依据。因落实政府采购政策进行价格调整的，以调整后的价格计算评标基准价和投标报价。</w:t>
      </w:r>
      <w:r>
        <w:rPr>
          <w:rFonts w:hint="eastAsia" w:asciiTheme="minorEastAsia" w:hAnsiTheme="minorEastAsia" w:cstheme="minorEastAsia"/>
          <w:b/>
          <w:color w:val="auto"/>
          <w:sz w:val="24"/>
          <w:szCs w:val="24"/>
          <w:highlight w:val="none"/>
          <w:lang w:val="en-US" w:eastAsia="zh-CN"/>
        </w:rPr>
        <w:t>评分分值计算保留小数点后两位，小数点后第三位不进行“四舍五入”。</w:t>
      </w:r>
    </w:p>
    <w:p w14:paraId="24F94035">
      <w:pPr>
        <w:pStyle w:val="24"/>
        <w:spacing w:line="360" w:lineRule="auto"/>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价格扣除的规则如下：</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309"/>
        <w:gridCol w:w="1350"/>
        <w:gridCol w:w="859"/>
        <w:gridCol w:w="6077"/>
      </w:tblGrid>
      <w:tr w14:paraId="1B8FA8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09" w:type="dxa"/>
          </w:tcPr>
          <w:p w14:paraId="2C9C71EA">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项目</w:t>
            </w:r>
          </w:p>
        </w:tc>
        <w:tc>
          <w:tcPr>
            <w:tcW w:w="1350" w:type="dxa"/>
          </w:tcPr>
          <w:p w14:paraId="303A692C">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适用对象</w:t>
            </w:r>
          </w:p>
        </w:tc>
        <w:tc>
          <w:tcPr>
            <w:tcW w:w="859" w:type="dxa"/>
          </w:tcPr>
          <w:p w14:paraId="7485C9EB">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比例</w:t>
            </w:r>
          </w:p>
        </w:tc>
        <w:tc>
          <w:tcPr>
            <w:tcW w:w="6077" w:type="dxa"/>
          </w:tcPr>
          <w:p w14:paraId="1A4B0BFA">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描述</w:t>
            </w:r>
          </w:p>
        </w:tc>
      </w:tr>
      <w:tr w14:paraId="58C12C5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09" w:type="dxa"/>
          </w:tcPr>
          <w:p w14:paraId="67CA5B07">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小型、微型企业，监狱企业，残疾人福利性单位</w:t>
            </w:r>
          </w:p>
        </w:tc>
        <w:tc>
          <w:tcPr>
            <w:tcW w:w="1350" w:type="dxa"/>
          </w:tcPr>
          <w:p w14:paraId="28AB529F">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投标人或者联合体均为小型、微型企业</w:t>
            </w:r>
          </w:p>
        </w:tc>
        <w:tc>
          <w:tcPr>
            <w:tcW w:w="859" w:type="dxa"/>
          </w:tcPr>
          <w:p w14:paraId="7A0589BD">
            <w:pPr>
              <w:keepNext w:val="0"/>
              <w:keepLines w:val="0"/>
              <w:suppressLineNumbers w:val="0"/>
              <w:spacing w:before="0" w:beforeAutospacing="0" w:after="0" w:afterAutospacing="0" w:line="360" w:lineRule="auto"/>
              <w:ind w:left="0" w:right="0"/>
              <w:jc w:val="center"/>
              <w:rPr>
                <w:rFonts w:hint="default" w:asciiTheme="minorEastAsia" w:hAnsiTheme="minorEastAsia" w:cstheme="minorEastAsia"/>
                <w:color w:val="auto"/>
                <w:sz w:val="24"/>
                <w:highlight w:val="none"/>
              </w:rPr>
            </w:pPr>
            <w:r>
              <w:rPr>
                <w:rFonts w:hint="eastAsia" w:asciiTheme="minorEastAsia" w:hAnsiTheme="minorEastAsia" w:cstheme="minorEastAsia"/>
                <w:b/>
                <w:color w:val="auto"/>
                <w:sz w:val="24"/>
                <w:highlight w:val="none"/>
              </w:rPr>
              <w:t>15.00%</w:t>
            </w:r>
          </w:p>
        </w:tc>
        <w:tc>
          <w:tcPr>
            <w:tcW w:w="6077" w:type="dxa"/>
          </w:tcPr>
          <w:p w14:paraId="218C6303">
            <w:pPr>
              <w:keepNext w:val="0"/>
              <w:keepLines w:val="0"/>
              <w:suppressLineNumbers w:val="0"/>
              <w:spacing w:before="0" w:beforeAutospacing="0" w:after="0" w:afterAutospacing="0" w:line="360" w:lineRule="auto"/>
              <w:ind w:left="0" w:right="0"/>
              <w:jc w:val="left"/>
              <w:rPr>
                <w:rFonts w:hint="default" w:asciiTheme="minorEastAsia" w:hAnsiTheme="minorEastAsia" w:cstheme="minorEastAsia"/>
                <w:color w:val="auto"/>
                <w:sz w:val="24"/>
                <w:highlight w:val="none"/>
              </w:rPr>
            </w:pPr>
            <w:r>
              <w:rPr>
                <w:rFonts w:hint="eastAsia" w:asciiTheme="minorEastAsia" w:hAnsiTheme="minorEastAsia" w:cstheme="minorEastAsia"/>
                <w:b/>
                <w:bCs w:val="0"/>
                <w:color w:val="auto"/>
                <w:sz w:val="24"/>
                <w:highlight w:val="none"/>
              </w:rPr>
              <w:t>一、根据财政部财库〔2020〕46号关于印发《政府采购促进中小企业发展管理办法》的通知和《福建省财政厅关于进一步加大政府采购支持中小企业力度的通知》（闽财规〔2022〕13号）执行，对小型和微型企业提供的货物或服务的价格给予15%（工程项目为3%）的扣除，用扣除后的价格参与价格部分的评审。（即所投全部产品或服务属于小型和微型企业产品或服务的，按其总报价的15%进行扣除，若</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提供的货物既有中小企业制造货物，也有大型企业制造货物的，不享受中小企业扶持政策）。1.享受价格扣除的</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应当同时符合以下条件：①符合《中小企业划分标准》中的小、微企业标准（工信部联企业〔2011〕300号）；②提供本企业制造的货物、承担的工程或者服务，或者提供其他小微企业制造的货物。 2.联合体是否享受该扶持政策的规定：（不接受联合体投标的项目不适用于此款规定）。①以联合体形式参加政府采购活动，联合体各方均为中小企业的，联合体视同中小企业。其中，联合体各方均为小微企业的，联合体视同小微企业。 ②接受大中型企业与小微企业组成联合体或者允许大中 型企业向一家或者多家小微企业分包的采购项目，对于联合协议或者分包意向协议约定小微企业的合同份额占到合同总金额 30%以上的，对于联合体或者大中型企业的报价给予5%（工程项目为 1%）的扣除，用扣除后的价格参加评审。3.下述情形，不享受小微企业优惠政策：①所投产品为进口产品的；②组成联合体或者接受分包的小微企业与联合体内其他企业、分包企业之间存在直接控股、管理关系的，不享受价格扣除优惠政策；③小型、微型企业将获得政府采购合同分包或转包给大型、中型企业，中型企业分包或转包给大型企业的；④中型、大型企业不享受该项优惠政策。小型、微型企业提供中型企业或大型企业制造的货物的，视同为中型企业。⑤所投产品为使用大型企业注册商标的货物的。4.</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应提供下述证明材料：本项目属于</w:t>
            </w:r>
            <w:r>
              <w:rPr>
                <w:rFonts w:hint="eastAsia" w:asciiTheme="minorEastAsia" w:hAnsiTheme="minorEastAsia" w:cstheme="minorEastAsia"/>
                <w:b/>
                <w:bCs w:val="0"/>
                <w:color w:val="auto"/>
                <w:sz w:val="24"/>
                <w:highlight w:val="none"/>
                <w:lang w:eastAsia="zh-CN"/>
              </w:rPr>
              <w:t>服务</w:t>
            </w:r>
            <w:r>
              <w:rPr>
                <w:rFonts w:hint="eastAsia" w:asciiTheme="minorEastAsia" w:hAnsiTheme="minorEastAsia" w:cstheme="minorEastAsia"/>
                <w:b/>
                <w:bCs w:val="0"/>
                <w:color w:val="auto"/>
                <w:sz w:val="24"/>
                <w:highlight w:val="none"/>
              </w:rPr>
              <w:t>类项目，采购标的所属行业为</w:t>
            </w:r>
            <w:r>
              <w:rPr>
                <w:rFonts w:hint="eastAsia" w:asciiTheme="minorEastAsia" w:hAnsiTheme="minorEastAsia" w:cstheme="minorEastAsia"/>
                <w:b/>
                <w:bCs w:val="0"/>
                <w:color w:val="auto"/>
                <w:sz w:val="24"/>
                <w:highlight w:val="none"/>
                <w:lang w:val="en-US" w:eastAsia="zh-CN"/>
              </w:rPr>
              <w:t>软件和信息技术服务业</w:t>
            </w:r>
            <w:r>
              <w:rPr>
                <w:rFonts w:hint="eastAsia" w:asciiTheme="minorEastAsia" w:hAnsiTheme="minorEastAsia" w:cstheme="minorEastAsia"/>
                <w:b/>
                <w:bCs w:val="0"/>
                <w:color w:val="auto"/>
                <w:sz w:val="24"/>
                <w:highlight w:val="none"/>
              </w:rPr>
              <w:t>，</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为</w:t>
            </w:r>
            <w:r>
              <w:rPr>
                <w:rFonts w:hint="eastAsia" w:asciiTheme="minorEastAsia" w:hAnsiTheme="minorEastAsia" w:cstheme="minorEastAsia"/>
                <w:b/>
                <w:bCs w:val="0"/>
                <w:color w:val="auto"/>
                <w:sz w:val="24"/>
                <w:highlight w:val="none"/>
                <w:lang w:eastAsia="zh-CN"/>
              </w:rPr>
              <w:t>小微</w:t>
            </w:r>
            <w:r>
              <w:rPr>
                <w:rFonts w:hint="eastAsia" w:asciiTheme="minorEastAsia" w:hAnsiTheme="minorEastAsia" w:cstheme="minorEastAsia"/>
                <w:b/>
                <w:bCs w:val="0"/>
                <w:color w:val="auto"/>
                <w:sz w:val="24"/>
                <w:highlight w:val="none"/>
              </w:rPr>
              <w:t>企业</w:t>
            </w:r>
            <w:r>
              <w:rPr>
                <w:rFonts w:hint="eastAsia" w:asciiTheme="minorEastAsia" w:hAnsiTheme="minorEastAsia" w:cstheme="minorEastAsia"/>
                <w:b/>
                <w:bCs w:val="0"/>
                <w:color w:val="auto"/>
                <w:sz w:val="24"/>
                <w:highlight w:val="none"/>
                <w:lang w:val="en-US" w:eastAsia="zh-CN"/>
              </w:rPr>
              <w:t>的</w:t>
            </w:r>
            <w:r>
              <w:rPr>
                <w:rFonts w:hint="eastAsia" w:asciiTheme="minorEastAsia" w:hAnsiTheme="minorEastAsia" w:cstheme="minorEastAsia"/>
                <w:b/>
                <w:bCs w:val="0"/>
                <w:color w:val="auto"/>
                <w:sz w:val="24"/>
                <w:highlight w:val="none"/>
              </w:rPr>
              <w:t>，</w:t>
            </w:r>
            <w:r>
              <w:rPr>
                <w:rFonts w:hint="eastAsia" w:asciiTheme="minorEastAsia" w:hAnsiTheme="minorEastAsia" w:cstheme="minorEastAsia"/>
                <w:b/>
                <w:bCs w:val="0"/>
                <w:color w:val="auto"/>
                <w:sz w:val="24"/>
                <w:highlight w:val="none"/>
                <w:lang w:val="en-US" w:eastAsia="zh-CN"/>
              </w:rPr>
              <w:t>须按照《中小企业声明函》中规定的内容填写完整（即标的名称应为招标文件中的项目名称，行业名称即为招标文件明确的采购标的对应的所属行业），若投标人未按上述要求填写的，</w:t>
            </w:r>
            <w:r>
              <w:rPr>
                <w:rFonts w:hint="eastAsia" w:asciiTheme="minorEastAsia" w:hAnsiTheme="minorEastAsia" w:cstheme="minorEastAsia"/>
                <w:b/>
                <w:bCs w:val="0"/>
                <w:color w:val="auto"/>
                <w:sz w:val="24"/>
                <w:highlight w:val="none"/>
              </w:rPr>
              <w:t>则不予认定为小微企业。二、根据财库【2014】68号文《关于政府采购支持监狱企业发展有关问题的通知》的规定，在政府采购活动中，监狱企业视同小型、微型企业，享受预留份额、评审中价格扣除等政府采购促进中小企业发展的政府采购政策。监狱企业参加政府采购活动时，应当提供由省级以上监狱管理局、戒毒管理局(含新疆生产建设兵团)出具的属于监狱企业的证明文件。 三、根据财库〔2017〕141号文《关于促进残疾人就业政府采购政策的通知》的规定，在政府采购活动中，残疾人福利性单位视同小型、微型企业，享受预留份额、评审中价格扣除等促进中小企业发展的政府采购政策。根据福建省财政厅 福建省民政厅 福建省残疾人联合会《关于进一步落实政府采购支持残疾人就业政策的通知》规定，对于非专门面向中小企业的项目，对残疾人福利性单位制造的货物、承担的工程或服务价格按照《福建省财政厅关于进一步加大政府采购支持中小企业力度的通知》（闽财规〔2022〕13号）执行；对残疾人福利性单位与其他组织组成联合体参与政府采购活动的，残疾人福利性单位的协议合同金额占总合同金额30%以上的，给予联合体合同金额3%的价格扣除。残疾人福利性单位参加政府采购活动时，残疾人福利性单位享受价格扣除的货物、服务或工程是指只由本单位制造的货物、承担的工程或服务，或者只由其他残疾人福利性单位制造的货物（不包括使用非残疾人福利性单位注册商标的货物），</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应当提供财库〔2017〕141号文规定格式的《残疾人福利性单位声明函》及标明具体哪些货物是其本单位制造的货物，或者是由其他残疾人福利性单位制造的货物（不包括使用非残疾人福利性单位注册商标的货物），仅有标明部分的货物才能启动价格扣除。残疾人福利性单位属于小型、微型企业的，不重复享受政策。</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为残疾人福利性单位的，采购代理机构将在中标、成交结果同时公告其《残疾人福利性单位声明函》，接受社会监督。如发现</w:t>
            </w:r>
            <w:r>
              <w:rPr>
                <w:rFonts w:hint="eastAsia" w:asciiTheme="minorEastAsia" w:hAnsiTheme="minorEastAsia" w:cstheme="minorEastAsia"/>
                <w:b/>
                <w:bCs w:val="0"/>
                <w:color w:val="auto"/>
                <w:sz w:val="24"/>
                <w:highlight w:val="none"/>
                <w:lang w:eastAsia="zh-CN"/>
              </w:rPr>
              <w:t>投标人</w:t>
            </w:r>
            <w:r>
              <w:rPr>
                <w:rFonts w:hint="eastAsia" w:asciiTheme="minorEastAsia" w:hAnsiTheme="minorEastAsia" w:cstheme="minorEastAsia"/>
                <w:b/>
                <w:bCs w:val="0"/>
                <w:color w:val="auto"/>
                <w:sz w:val="24"/>
                <w:highlight w:val="none"/>
              </w:rPr>
              <w:t>提供的《残疾人福利性单位声明函》与事实不符的，视为其提供虚假材料谋取中标、成交，其中标、成交无效，并依照《政府采购法》第七十七条第一款的规定追究法律责任。</w:t>
            </w:r>
          </w:p>
        </w:tc>
      </w:tr>
      <w:tr w14:paraId="0101EA8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659" w:type="dxa"/>
            <w:gridSpan w:val="2"/>
            <w:vAlign w:val="center"/>
          </w:tcPr>
          <w:p w14:paraId="34D27C4D">
            <w:pPr>
              <w:keepNext w:val="0"/>
              <w:keepLines w:val="0"/>
              <w:suppressLineNumbers w:val="0"/>
              <w:spacing w:before="0" w:beforeAutospacing="0" w:after="0" w:afterAutospacing="0" w:line="360" w:lineRule="auto"/>
              <w:ind w:left="0" w:right="0"/>
              <w:jc w:val="center"/>
              <w:rPr>
                <w:rFonts w:hint="eastAsia" w:asciiTheme="minorEastAsia" w:hAnsiTheme="minorEastAsia" w:cstheme="minorEastAsia"/>
                <w:b/>
                <w:color w:val="auto"/>
                <w:sz w:val="24"/>
                <w:highlight w:val="none"/>
              </w:rPr>
            </w:pPr>
            <w:r>
              <w:rPr>
                <w:rFonts w:hint="eastAsia" w:asciiTheme="minorEastAsia" w:hAnsiTheme="minorEastAsia" w:cstheme="minorEastAsia"/>
                <w:bCs/>
                <w:color w:val="auto"/>
                <w:sz w:val="24"/>
                <w:highlight w:val="none"/>
              </w:rPr>
              <w:t>节能</w:t>
            </w:r>
            <w:r>
              <w:rPr>
                <w:rFonts w:hint="eastAsia" w:asciiTheme="minorEastAsia" w:hAnsiTheme="minorEastAsia" w:cstheme="minorEastAsia"/>
                <w:bCs/>
                <w:color w:val="auto"/>
                <w:sz w:val="24"/>
                <w:highlight w:val="none"/>
                <w:lang w:eastAsia="zh-CN"/>
              </w:rPr>
              <w:t>（非强制性）</w:t>
            </w:r>
            <w:r>
              <w:rPr>
                <w:rFonts w:hint="eastAsia" w:asciiTheme="minorEastAsia" w:hAnsiTheme="minorEastAsia" w:cstheme="minorEastAsia"/>
                <w:bCs/>
                <w:color w:val="auto"/>
                <w:sz w:val="24"/>
                <w:highlight w:val="none"/>
              </w:rPr>
              <w:t>、环境标志产品</w:t>
            </w:r>
          </w:p>
        </w:tc>
        <w:tc>
          <w:tcPr>
            <w:tcW w:w="859" w:type="dxa"/>
            <w:vAlign w:val="center"/>
          </w:tcPr>
          <w:p w14:paraId="0B955E28">
            <w:pPr>
              <w:keepNext w:val="0"/>
              <w:keepLines w:val="0"/>
              <w:suppressLineNumbers w:val="0"/>
              <w:spacing w:before="0" w:beforeAutospacing="0" w:after="0" w:afterAutospacing="0" w:line="360" w:lineRule="auto"/>
              <w:ind w:left="0" w:right="0"/>
              <w:jc w:val="center"/>
              <w:rPr>
                <w:rFonts w:hint="eastAsia" w:asciiTheme="minorEastAsia" w:hAnsiTheme="minorEastAsia" w:cstheme="minorEastAsia"/>
                <w:b/>
                <w:color w:val="auto"/>
                <w:sz w:val="24"/>
                <w:highlight w:val="none"/>
              </w:rPr>
            </w:pPr>
            <w:r>
              <w:rPr>
                <w:rFonts w:hint="eastAsia" w:asciiTheme="minorEastAsia" w:hAnsiTheme="minorEastAsia" w:cstheme="minorEastAsia"/>
                <w:b/>
                <w:bCs w:val="0"/>
                <w:color w:val="auto"/>
                <w:sz w:val="24"/>
                <w:highlight w:val="none"/>
                <w:lang w:val="en-US" w:eastAsia="zh-CN"/>
              </w:rPr>
              <w:t>10.00%</w:t>
            </w:r>
          </w:p>
        </w:tc>
        <w:tc>
          <w:tcPr>
            <w:tcW w:w="6077" w:type="dxa"/>
            <w:vAlign w:val="top"/>
          </w:tcPr>
          <w:p w14:paraId="1BECC2F2">
            <w:pPr>
              <w:keepNext w:val="0"/>
              <w:keepLines w:val="0"/>
              <w:suppressLineNumbers w:val="0"/>
              <w:spacing w:before="0" w:beforeAutospacing="0" w:after="0" w:afterAutospacing="0" w:line="360" w:lineRule="auto"/>
              <w:ind w:left="0" w:right="0"/>
              <w:jc w:val="left"/>
              <w:rPr>
                <w:rFonts w:hint="eastAsia" w:asciiTheme="minorEastAsia" w:hAnsiTheme="minorEastAsia" w:cstheme="minorEastAsia"/>
                <w:b/>
                <w:bCs w:val="0"/>
                <w:color w:val="auto"/>
                <w:sz w:val="24"/>
                <w:highlight w:val="none"/>
              </w:rPr>
            </w:pPr>
            <w:r>
              <w:rPr>
                <w:rFonts w:hint="eastAsia" w:asciiTheme="minorEastAsia" w:hAnsiTheme="minorEastAsia" w:cstheme="minorEastAsia"/>
                <w:b/>
                <w:bCs w:val="0"/>
                <w:color w:val="auto"/>
                <w:sz w:val="24"/>
                <w:highlight w:val="none"/>
              </w:rPr>
              <w:t>若同一合同包内有节能（非强制类产品）、环境标志产品的将给予该节能（非强制类产品）、环境标志产品每个单项报价10%的价格扣除。</w:t>
            </w:r>
            <w:r>
              <w:rPr>
                <w:rFonts w:hint="eastAsia" w:asciiTheme="minorEastAsia" w:hAnsiTheme="minorEastAsia" w:cstheme="minorEastAsia"/>
                <w:b/>
                <w:bCs w:val="0"/>
                <w:color w:val="auto"/>
                <w:sz w:val="24"/>
                <w:highlight w:val="none"/>
                <w:u w:val="single"/>
              </w:rPr>
              <w:t>投标人在报价时必须对属于非强制性节能、环境标志产品清单内产品单独分项报价</w:t>
            </w:r>
            <w:r>
              <w:rPr>
                <w:rFonts w:hint="eastAsia" w:asciiTheme="minorEastAsia" w:hAnsiTheme="minorEastAsia" w:cstheme="minorEastAsia"/>
                <w:b/>
                <w:bCs w:val="0"/>
                <w:color w:val="auto"/>
                <w:sz w:val="24"/>
                <w:highlight w:val="none"/>
              </w:rPr>
              <w:t>，并于响应中提供“属于节能、环境标志产品的情况”（详见投标文件格式）及属于节能（非强制类产品）、环境标志产品的证明资料（国家确定的认证机构出具的、处于有效期之内的产品认证证书复印件）加盖投标人公章，未按要求提供则该产品不享受价格扣除。注：①节能产品是指财政部、发展改革委最新公布的《节能产品政府采购品目清单》内且获得国家确定的认证机构出具的、处于有效期之内的产品认证证书的产品；环境标志产品是指生态环境部和财政部最新公布的《环境标志产品政府采购品目清单》内且获得国家确定的认证机构出具的、处于有效期之内的产品认证证书的产品；②同一合同包内的节能、环境标志产品部分价格扣除只对属于清单内的非强制类产品进行价格扣除，强制类产品不给予价格扣除；③若同一合同包内的节能（非强制类产品）、环境标志产品仅是构成报价产品的部件、组件或零件的（如服装、窗帘产品的棉、化纤 纺织等），则不给予价格扣除。同一品目中各认证证书不重复计算价格扣除。</w:t>
            </w:r>
          </w:p>
        </w:tc>
      </w:tr>
    </w:tbl>
    <w:p w14:paraId="75773D40">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其他：无</w:t>
      </w:r>
    </w:p>
    <w:p w14:paraId="5E67EE14">
      <w:pPr>
        <w:pStyle w:val="24"/>
        <w:spacing w:line="360" w:lineRule="auto"/>
        <w:rPr>
          <w:rFonts w:hint="default" w:asciiTheme="minorEastAsia" w:hAnsiTheme="minorEastAsia" w:cstheme="minorEastAsia"/>
          <w:b/>
          <w:color w:val="auto"/>
          <w:sz w:val="24"/>
          <w:szCs w:val="24"/>
          <w:highlight w:val="none"/>
        </w:rPr>
      </w:pPr>
      <w:r>
        <w:rPr>
          <w:rFonts w:asciiTheme="minorEastAsia" w:hAnsiTheme="minorEastAsia" w:cstheme="minorEastAsia"/>
          <w:b/>
          <w:color w:val="auto"/>
          <w:sz w:val="24"/>
          <w:szCs w:val="24"/>
          <w:highlight w:val="none"/>
        </w:rPr>
        <w:t>技术项（F2×A2）满分为</w:t>
      </w:r>
      <w:r>
        <w:rPr>
          <w:rFonts w:hint="eastAsia" w:asciiTheme="minorEastAsia" w:hAnsiTheme="minorEastAsia" w:cstheme="minorEastAsia"/>
          <w:b/>
          <w:color w:val="auto"/>
          <w:sz w:val="24"/>
          <w:szCs w:val="24"/>
          <w:highlight w:val="none"/>
          <w:lang w:val="en-US" w:eastAsia="zh-CN"/>
        </w:rPr>
        <w:t>70</w:t>
      </w:r>
      <w:r>
        <w:rPr>
          <w:rFonts w:asciiTheme="minorEastAsia" w:hAnsiTheme="minorEastAsia" w:cstheme="minorEastAsia"/>
          <w:b/>
          <w:color w:val="auto"/>
          <w:sz w:val="24"/>
          <w:szCs w:val="24"/>
          <w:highlight w:val="none"/>
        </w:rPr>
        <w:t>.00分</w:t>
      </w:r>
    </w:p>
    <w:tbl>
      <w:tblPr>
        <w:tblStyle w:val="17"/>
        <w:tblW w:w="9876"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25"/>
        <w:gridCol w:w="1000"/>
        <w:gridCol w:w="7151"/>
      </w:tblGrid>
      <w:tr w14:paraId="6B3A695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725" w:type="dxa"/>
          </w:tcPr>
          <w:p w14:paraId="03E707B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cstheme="minorEastAsia"/>
                <w:b/>
                <w:color w:val="auto"/>
                <w:sz w:val="24"/>
                <w:szCs w:val="24"/>
                <w:highlight w:val="none"/>
              </w:rPr>
            </w:pPr>
            <w:r>
              <w:rPr>
                <w:rFonts w:hint="eastAsia" w:asciiTheme="minorEastAsia" w:hAnsiTheme="minorEastAsia" w:cstheme="minorEastAsia"/>
                <w:b/>
                <w:color w:val="auto"/>
                <w:sz w:val="24"/>
                <w:szCs w:val="24"/>
                <w:highlight w:val="none"/>
              </w:rPr>
              <w:t>项目</w:t>
            </w:r>
          </w:p>
        </w:tc>
        <w:tc>
          <w:tcPr>
            <w:tcW w:w="1000" w:type="dxa"/>
          </w:tcPr>
          <w:p w14:paraId="18EBEAE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cstheme="minorEastAsia"/>
                <w:b/>
                <w:color w:val="auto"/>
                <w:sz w:val="24"/>
                <w:szCs w:val="24"/>
                <w:highlight w:val="none"/>
              </w:rPr>
            </w:pPr>
            <w:r>
              <w:rPr>
                <w:rFonts w:hint="eastAsia" w:asciiTheme="minorEastAsia" w:hAnsiTheme="minorEastAsia" w:cstheme="minorEastAsia"/>
                <w:b/>
                <w:color w:val="auto"/>
                <w:sz w:val="24"/>
                <w:szCs w:val="24"/>
                <w:highlight w:val="none"/>
              </w:rPr>
              <w:t>分值</w:t>
            </w:r>
          </w:p>
        </w:tc>
        <w:tc>
          <w:tcPr>
            <w:tcW w:w="7151" w:type="dxa"/>
          </w:tcPr>
          <w:p w14:paraId="45DDD4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Theme="minorEastAsia" w:hAnsiTheme="minorEastAsia" w:cstheme="minorEastAsia"/>
                <w:b/>
                <w:color w:val="auto"/>
                <w:sz w:val="24"/>
                <w:szCs w:val="24"/>
                <w:highlight w:val="none"/>
              </w:rPr>
            </w:pPr>
            <w:r>
              <w:rPr>
                <w:rFonts w:hint="eastAsia" w:asciiTheme="minorEastAsia" w:hAnsiTheme="minorEastAsia" w:cstheme="minorEastAsia"/>
                <w:b/>
                <w:color w:val="auto"/>
                <w:sz w:val="24"/>
                <w:szCs w:val="24"/>
                <w:highlight w:val="none"/>
              </w:rPr>
              <w:t>描述</w:t>
            </w:r>
          </w:p>
        </w:tc>
      </w:tr>
      <w:tr w14:paraId="22D6D06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725" w:type="dxa"/>
            <w:vAlign w:val="center"/>
          </w:tcPr>
          <w:p w14:paraId="494D1BD2">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lang w:val="en-US" w:eastAsia="zh-Hans" w:bidi="ar-SA"/>
              </w:rPr>
            </w:pPr>
            <w:r>
              <w:rPr>
                <w:rFonts w:hint="eastAsia" w:ascii="宋体" w:hAnsi="宋体" w:eastAsia="宋体" w:cs="宋体"/>
                <w:color w:val="auto"/>
                <w:kern w:val="2"/>
                <w:sz w:val="24"/>
                <w:szCs w:val="24"/>
                <w:highlight w:val="none"/>
                <w:lang w:val="en-US" w:eastAsia="zh-CN" w:bidi="ar-SA"/>
              </w:rPr>
              <w:t>技术性能响应情况</w:t>
            </w:r>
          </w:p>
        </w:tc>
        <w:tc>
          <w:tcPr>
            <w:tcW w:w="1000" w:type="dxa"/>
            <w:vAlign w:val="center"/>
          </w:tcPr>
          <w:p w14:paraId="783E0A98">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32</w:t>
            </w:r>
          </w:p>
        </w:tc>
        <w:tc>
          <w:tcPr>
            <w:tcW w:w="7151" w:type="dxa"/>
            <w:vAlign w:val="center"/>
          </w:tcPr>
          <w:p w14:paraId="330C0B25">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根据各投标人对第五章《招标内容及要求》“二、技术和服务要求”的各项技术要求逐项应答情况并结合相关佐证材料（如有）由评标委员会进行评分：完全满足技术参数要求的得32分，标注评标项的技术参数</w:t>
            </w:r>
            <w:r>
              <w:rPr>
                <w:rFonts w:hint="eastAsia" w:ascii="宋体" w:hAnsi="宋体" w:eastAsia="宋体" w:cs="宋体"/>
                <w:b/>
                <w:bCs/>
                <w:color w:val="auto"/>
                <w:kern w:val="2"/>
                <w:sz w:val="24"/>
                <w:szCs w:val="24"/>
                <w:highlight w:val="none"/>
                <w:lang w:val="en-US" w:eastAsia="zh-CN" w:bidi="ar-SA"/>
              </w:rPr>
              <w:t>（共计32项）</w:t>
            </w:r>
            <w:r>
              <w:rPr>
                <w:rFonts w:hint="eastAsia" w:ascii="宋体" w:hAnsi="宋体" w:eastAsia="宋体" w:cs="宋体"/>
                <w:color w:val="auto"/>
                <w:kern w:val="2"/>
                <w:sz w:val="24"/>
                <w:szCs w:val="24"/>
                <w:highlight w:val="none"/>
                <w:lang w:val="en-US" w:eastAsia="zh-CN" w:bidi="ar-SA"/>
              </w:rPr>
              <w:t>，每负偏离或未响应一项扣1分，扣完为止，正偏离不加分；其余未标注评标指标项的内容属于实质性响应内容，不允许负偏离或未响应，若出现负偏离或未响应的，则视为未实质性响应招标文件，按无效投标处理。</w:t>
            </w:r>
            <w:r>
              <w:rPr>
                <w:rFonts w:hint="eastAsia" w:ascii="宋体" w:hAnsi="宋体" w:eastAsia="宋体" w:cs="宋体"/>
                <w:b/>
                <w:bCs/>
                <w:color w:val="auto"/>
                <w:kern w:val="2"/>
                <w:sz w:val="24"/>
                <w:szCs w:val="24"/>
                <w:highlight w:val="none"/>
                <w:lang w:val="en-US" w:eastAsia="zh-CN" w:bidi="ar-SA"/>
              </w:rPr>
              <w:t>（注：①评标项1、2、3、4、5、6、8、9、10须提供对应技术参数的相关软件著作权证书复印件，未提供或不符合要求的视为负偏离；②其余评标项须提供对应技术参数的有效检测报告复印件，未提供或检测报告不符合要求的视为负偏离）</w:t>
            </w:r>
          </w:p>
        </w:tc>
      </w:tr>
      <w:tr w14:paraId="46B1EEC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434" w:hRule="atLeast"/>
        </w:trPr>
        <w:tc>
          <w:tcPr>
            <w:tcW w:w="1725" w:type="dxa"/>
            <w:vAlign w:val="center"/>
          </w:tcPr>
          <w:p w14:paraId="0119719B">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出口（9610）通关申报支撑系统的多口岸服务能力</w:t>
            </w:r>
          </w:p>
        </w:tc>
        <w:tc>
          <w:tcPr>
            <w:tcW w:w="1000" w:type="dxa"/>
            <w:vAlign w:val="center"/>
          </w:tcPr>
          <w:p w14:paraId="7A923FF5">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w:t>
            </w:r>
          </w:p>
        </w:tc>
        <w:tc>
          <w:tcPr>
            <w:tcW w:w="7151" w:type="dxa"/>
            <w:vAlign w:val="bottom"/>
          </w:tcPr>
          <w:p w14:paraId="22F9EB87">
            <w:pPr>
              <w:keepNext w:val="0"/>
              <w:keepLines w:val="0"/>
              <w:widowControl/>
              <w:suppressLineNumbers w:val="0"/>
              <w:spacing w:before="0" w:beforeAutospacing="0" w:after="0" w:afterAutospacing="0" w:line="360" w:lineRule="auto"/>
              <w:ind w:left="0" w:right="0"/>
              <w:jc w:val="left"/>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t>投标人的出口（9610）通关申报系统除支撑福建省内的口岸申报外还需支持宁德综试区跨境电商企业在国际运力发达的口岸城市实现跨境电商出口9610简化申报，每提供一个城市得1分，满分10分。投标人须提供出口（9610）通关申报系统的申报成功的截图及对应城市公共服务平台上的截图，未提供或提供的材料不能进行佐证的，本项不得分。（注：同一综试区的城市只能算一个）</w:t>
            </w:r>
          </w:p>
        </w:tc>
      </w:tr>
      <w:tr w14:paraId="543F515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725" w:type="dxa"/>
            <w:vAlign w:val="center"/>
          </w:tcPr>
          <w:p w14:paraId="63BF8EFB">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业务支撑能力</w:t>
            </w:r>
          </w:p>
        </w:tc>
        <w:tc>
          <w:tcPr>
            <w:tcW w:w="1000" w:type="dxa"/>
            <w:vAlign w:val="center"/>
          </w:tcPr>
          <w:p w14:paraId="0460BC53">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9</w:t>
            </w:r>
          </w:p>
        </w:tc>
        <w:tc>
          <w:tcPr>
            <w:tcW w:w="7151" w:type="dxa"/>
            <w:vAlign w:val="center"/>
          </w:tcPr>
          <w:p w14:paraId="051E686E">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标人应对宁德跨境监管场所开展的业务有深刻的理解，基于宁德区域位置，主要发展对台海运快件业务，投标人应对开展对台海运9610出口业务的监管场所有丰富规划和支撑能力，由评标委员会进行评分：投标人实际参与建设的监管场所开展的对台海运快件连续三个月的平均出口货柜量≥800条（大柜）的得9分；800条（大柜）＞出口货柜量≥600条（大柜）的得7分；600条（大柜）＞出口货柜量≥400条（大柜）的得5分；400条（大柜）＞出口货柜量≥200条（大柜）的得3分，其余不得分。投标人须提供所承建的监管场所自2024年1月1日起至本项目投标截止时间止，连续3个月对台海运快件出口的业务证明（连续3个月场站系统处理对台海运9610运抵申报截图及申报主提单号、集装箱柜号），未提供或提供不齐全或不符合要求的不得分。</w:t>
            </w:r>
          </w:p>
        </w:tc>
      </w:tr>
      <w:tr w14:paraId="6F5699C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90" w:hRule="atLeast"/>
        </w:trPr>
        <w:tc>
          <w:tcPr>
            <w:tcW w:w="1725" w:type="dxa"/>
            <w:vAlign w:val="center"/>
          </w:tcPr>
          <w:p w14:paraId="49BDBDA7">
            <w:pPr>
              <w:keepNext w:val="0"/>
              <w:keepLines w:val="0"/>
              <w:widowControl/>
              <w:suppressLineNumbers w:val="0"/>
              <w:spacing w:before="0" w:beforeAutospacing="0" w:after="0" w:afterAutospacing="0" w:line="360" w:lineRule="auto"/>
              <w:ind w:left="0" w:right="0"/>
              <w:jc w:val="left"/>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总体设计方案</w:t>
            </w:r>
          </w:p>
        </w:tc>
        <w:tc>
          <w:tcPr>
            <w:tcW w:w="1000" w:type="dxa"/>
            <w:vAlign w:val="center"/>
          </w:tcPr>
          <w:p w14:paraId="777E8F32">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151" w:type="dxa"/>
            <w:vAlign w:val="center"/>
          </w:tcPr>
          <w:p w14:paraId="33BC7EC6">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yellow"/>
                <w:lang w:val="en-US" w:eastAsia="zh-CN" w:bidi="ar-SA"/>
              </w:rPr>
            </w:pPr>
            <w:r>
              <w:rPr>
                <w:rFonts w:hint="eastAsia" w:ascii="宋体" w:hAnsi="宋体" w:eastAsia="宋体" w:cs="宋体"/>
                <w:color w:val="auto"/>
                <w:kern w:val="2"/>
                <w:sz w:val="24"/>
                <w:szCs w:val="24"/>
                <w:highlight w:val="none"/>
                <w:lang w:val="en-US" w:eastAsia="zh-CN" w:bidi="ar-SA"/>
              </w:rPr>
              <w:t>根据各投标人针对本项目提供的总体设计方案（总体技术方案应至少包含：业务分析与设计、应用架构设计、技术架构设计、安全设计、数据架构设计等）由评标委员会进行评分：</w:t>
            </w:r>
            <w:r>
              <w:rPr>
                <w:rFonts w:hint="eastAsia" w:ascii="宋体" w:hAnsi="宋体" w:eastAsia="宋体" w:cs="宋体"/>
                <w:sz w:val="24"/>
                <w:szCs w:val="24"/>
                <w:lang w:val="en-US" w:eastAsia="zh-CN" w:bidi="ar"/>
              </w:rPr>
              <w:t>方案包含的要点齐全无缺漏项、内容与要点相符、每个要点均有展开详细的阐述、整体思路结构清晰、逻辑性强，内容描述</w:t>
            </w:r>
            <w:r>
              <w:rPr>
                <w:rFonts w:hint="eastAsia" w:cs="宋体"/>
                <w:sz w:val="24"/>
                <w:szCs w:val="24"/>
                <w:lang w:val="en-US" w:eastAsia="zh-CN" w:bidi="ar"/>
              </w:rPr>
              <w:t>能够全部满足</w:t>
            </w:r>
            <w:r>
              <w:rPr>
                <w:rFonts w:hint="eastAsia" w:ascii="宋体" w:hAnsi="宋体" w:eastAsia="宋体" w:cs="宋体"/>
                <w:sz w:val="24"/>
                <w:szCs w:val="24"/>
                <w:lang w:val="en-US" w:eastAsia="zh-CN" w:bidi="ar"/>
              </w:rPr>
              <w:t>本项目的得3分；方案所包含的要点齐全、内容与要点相符、每个要点均有展开阐述（没有特别具体）、整体思路结构较清晰、逻辑性较强，内容描述较合理，细节考虑较周全且基本能够适用于本项目的得2.5分；方案所包含的要点齐全、内容与要点相符但仅有纲要、内容简略，未展开详细阐述但基本能够适用于本项目的得2.25分；方案所包含的要点有缺漏、未提供或内容存在明显错误、内容明显不适用于本项目需求的均不得分。</w:t>
            </w:r>
          </w:p>
        </w:tc>
      </w:tr>
      <w:tr w14:paraId="7E41B74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725" w:type="dxa"/>
            <w:vAlign w:val="center"/>
          </w:tcPr>
          <w:p w14:paraId="41AA125F">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实施方案</w:t>
            </w:r>
          </w:p>
        </w:tc>
        <w:tc>
          <w:tcPr>
            <w:tcW w:w="1000" w:type="dxa"/>
            <w:vAlign w:val="center"/>
          </w:tcPr>
          <w:p w14:paraId="61AF24F0">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w:t>
            </w:r>
          </w:p>
        </w:tc>
        <w:tc>
          <w:tcPr>
            <w:tcW w:w="7151" w:type="dxa"/>
            <w:vAlign w:val="bottom"/>
          </w:tcPr>
          <w:p w14:paraId="395EB2D8">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根据各投标人针对本项目提供的实施方案（内容至少包括：项目实施过程控制、项目实施过程文档管理、项目实施组织架构、项目实施进度安排、项目验收安排等），由评标委员会进行评分：</w:t>
            </w:r>
            <w:r>
              <w:rPr>
                <w:rFonts w:hint="eastAsia" w:ascii="宋体" w:hAnsi="宋体" w:eastAsia="宋体" w:cs="宋体"/>
                <w:sz w:val="24"/>
                <w:szCs w:val="24"/>
                <w:lang w:val="en-US" w:eastAsia="zh-CN" w:bidi="ar"/>
              </w:rPr>
              <w:t>方案包含的要点齐全无缺漏项、内容与要点相符、每个要点均有展开详细的阐述、整体思路结构清晰、逻辑性强，内容描述</w:t>
            </w:r>
            <w:r>
              <w:rPr>
                <w:rFonts w:hint="eastAsia" w:cs="宋体"/>
                <w:sz w:val="24"/>
                <w:szCs w:val="24"/>
                <w:lang w:val="en-US" w:eastAsia="zh-CN" w:bidi="ar"/>
              </w:rPr>
              <w:t>能够全部满足</w:t>
            </w:r>
            <w:r>
              <w:rPr>
                <w:rFonts w:hint="eastAsia" w:ascii="宋体" w:hAnsi="宋体" w:eastAsia="宋体" w:cs="宋体"/>
                <w:sz w:val="24"/>
                <w:szCs w:val="24"/>
                <w:lang w:val="en-US" w:eastAsia="zh-CN" w:bidi="ar"/>
              </w:rPr>
              <w:t>本项目的得2分；方案所包含的要点齐全、内容与要点相符、每个要点均有展开阐述（没有特别具体）、整体思路结构较清晰、逻辑性较强，内容描述较合理，细节考虑较周全且基本能够适用于本项目的得1.5分；方案所包含的要点齐全、内容与要点相符但仅有纲要、内容简略，未展开详细阐述但基本能够适用于本项目的得1.25分；方案所包含的要点有缺漏、未提供或内容存在明显错误、内容明显不适用于本项目需求的均不得分。</w:t>
            </w:r>
          </w:p>
        </w:tc>
      </w:tr>
      <w:tr w14:paraId="4248CD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1725" w:type="dxa"/>
            <w:vAlign w:val="center"/>
          </w:tcPr>
          <w:p w14:paraId="29CC7CF0">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现场演示</w:t>
            </w:r>
          </w:p>
        </w:tc>
        <w:tc>
          <w:tcPr>
            <w:tcW w:w="1000" w:type="dxa"/>
            <w:vAlign w:val="center"/>
          </w:tcPr>
          <w:p w14:paraId="7FA59E32">
            <w:pPr>
              <w:keepNext w:val="0"/>
              <w:keepLines w:val="0"/>
              <w:widowControl/>
              <w:suppressLineNumbers w:val="0"/>
              <w:spacing w:before="0" w:beforeAutospacing="0" w:after="0" w:afterAutospacing="0" w:line="360" w:lineRule="auto"/>
              <w:ind w:left="0" w:right="0" w:firstLine="240" w:firstLineChars="100"/>
              <w:jc w:val="left"/>
              <w:rPr>
                <w:rFonts w:hint="default"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14</w:t>
            </w:r>
          </w:p>
        </w:tc>
        <w:tc>
          <w:tcPr>
            <w:tcW w:w="7151" w:type="dxa"/>
            <w:vAlign w:val="center"/>
          </w:tcPr>
          <w:p w14:paraId="6699E43A">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根据各投标人提供的现场演示内容，由评标委员会进行评分：</w:t>
            </w:r>
          </w:p>
          <w:p w14:paraId="5737464F">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①与福建省单一窗口的集成实现单点登陆：投标人的出口（9610）通关申报系统需从福建省单一窗口登陆页输入账号和密码登陆到出口（9610）通关申报系统，并在福建省单一窗口后台有登陆日志；②出口（9610）通关申报系统模块功能演示：需演示通过导入模块将提前准备的演示数据导入系统，并在申报中心及对应的模块生成订单、收款单、运单、清单、清单总分单、离境单等单据，并点击“一键申报”按钮进行申报操作，若申报成功可在福建省单一窗口平台查询到申报数据；</w:t>
            </w:r>
          </w:p>
          <w:p w14:paraId="59107D43">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③跨境电商数据交换服务功能演示：投标人需打开交换服务台后管理，现场演示配置福州、厦门、上海、广州四个口岸的申报通道及加密机设备，并启动交换服务客户端，在出口（9610）通关申报系统中点击申报，在对应关区口岸公服平台上可以查询到申报的单据即为演示成功；</w:t>
            </w:r>
          </w:p>
          <w:p w14:paraId="45453CFC">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④场站管理系统模块功能演示：需演示货物进入跨境监管中心前入区数据预报，PDA理货扫码功能；</w:t>
            </w:r>
          </w:p>
          <w:p w14:paraId="7A3D1EBE">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strike w:val="0"/>
                <w:dstrike w:val="0"/>
                <w:color w:val="auto"/>
                <w:kern w:val="2"/>
                <w:sz w:val="24"/>
                <w:szCs w:val="24"/>
                <w:highlight w:val="none"/>
                <w:lang w:val="en-US" w:eastAsia="zh-CN" w:bidi="ar-SA"/>
              </w:rPr>
              <w:t>每满足以上一项演示功能的得3.5分，满分14分。未提供演示或演示内容不符合要求的不得分。</w:t>
            </w:r>
          </w:p>
          <w:p w14:paraId="1B476510">
            <w:pPr>
              <w:keepNext w:val="0"/>
              <w:keepLines w:val="0"/>
              <w:widowControl/>
              <w:suppressLineNumbers w:val="0"/>
              <w:spacing w:before="0" w:beforeAutospacing="0" w:after="0" w:afterAutospacing="0" w:line="360" w:lineRule="auto"/>
              <w:ind w:left="0" w:right="0"/>
              <w:jc w:val="left"/>
              <w:rPr>
                <w:rFonts w:hint="default" w:ascii="宋体" w:hAnsi="宋体" w:eastAsia="宋体" w:cs="宋体"/>
                <w:strike w:val="0"/>
                <w:dstrike w:val="0"/>
                <w:color w:val="auto"/>
                <w:kern w:val="2"/>
                <w:sz w:val="24"/>
                <w:szCs w:val="24"/>
                <w:highlight w:val="none"/>
                <w:lang w:val="en-US" w:eastAsia="zh-CN" w:bidi="ar-SA"/>
              </w:rPr>
            </w:pPr>
            <w:r>
              <w:rPr>
                <w:rFonts w:hint="eastAsia" w:ascii="宋体" w:hAnsi="宋体" w:eastAsia="宋体" w:cs="宋体"/>
                <w:b/>
                <w:bCs/>
                <w:strike w:val="0"/>
                <w:dstrike w:val="0"/>
                <w:color w:val="auto"/>
                <w:kern w:val="2"/>
                <w:sz w:val="24"/>
                <w:szCs w:val="24"/>
                <w:highlight w:val="none"/>
                <w:lang w:val="en-US" w:eastAsia="zh-CN" w:bidi="ar-SA"/>
              </w:rPr>
              <w:t>注：1.不接受原型、视频、PPT等三种演示形式。投标人需自备演示设备（除投影仪外）并自行搭建演示所需网络环境进行演示，现场准备时间不超过5分钟，演示时间不超过20分钟。2.本项目为宁德市跨境电商综试区政务项目建设，必须对接福建省单一窗口，若本演示环节第一项与福建省单一窗口的集成实现单点登陆不能满足，则现场演示环节得0分。</w:t>
            </w:r>
          </w:p>
        </w:tc>
      </w:tr>
    </w:tbl>
    <w:p w14:paraId="4C981313">
      <w:pPr>
        <w:pStyle w:val="24"/>
        <w:spacing w:line="360" w:lineRule="auto"/>
        <w:rPr>
          <w:rFonts w:hint="default" w:asciiTheme="minorEastAsia" w:hAnsiTheme="minorEastAsia" w:cstheme="minorEastAsia"/>
          <w:color w:val="000000" w:themeColor="text1"/>
          <w:sz w:val="24"/>
          <w:szCs w:val="24"/>
          <w:highlight w:val="none"/>
          <w14:textFill>
            <w14:solidFill>
              <w14:schemeClr w14:val="tx1"/>
            </w14:solidFill>
          </w14:textFill>
        </w:rPr>
      </w:pPr>
      <w:r>
        <w:rPr>
          <w:rFonts w:asciiTheme="minorEastAsia" w:hAnsiTheme="minorEastAsia" w:cstheme="minorEastAsia"/>
          <w:b/>
          <w:color w:val="000000" w:themeColor="text1"/>
          <w:sz w:val="24"/>
          <w:szCs w:val="24"/>
          <w:highlight w:val="none"/>
          <w14:textFill>
            <w14:solidFill>
              <w14:schemeClr w14:val="tx1"/>
            </w14:solidFill>
          </w14:textFill>
        </w:rPr>
        <w:t>商务项（F3×A3）满分为</w:t>
      </w:r>
      <w:r>
        <w:rPr>
          <w:rFonts w:hint="eastAsia" w:asciiTheme="minorEastAsia" w:hAnsiTheme="minorEastAsia" w:cstheme="minorEastAsia"/>
          <w:b/>
          <w:color w:val="000000" w:themeColor="text1"/>
          <w:sz w:val="24"/>
          <w:szCs w:val="24"/>
          <w:highlight w:val="none"/>
          <w:lang w:val="en-US" w:eastAsia="zh-CN"/>
          <w14:textFill>
            <w14:solidFill>
              <w14:schemeClr w14:val="tx1"/>
            </w14:solidFill>
          </w14:textFill>
        </w:rPr>
        <w:t>15</w:t>
      </w:r>
      <w:r>
        <w:rPr>
          <w:rFonts w:asciiTheme="minorEastAsia" w:hAnsiTheme="minorEastAsia" w:cstheme="minorEastAsia"/>
          <w:b/>
          <w:color w:val="000000" w:themeColor="text1"/>
          <w:sz w:val="24"/>
          <w:szCs w:val="24"/>
          <w:highlight w:val="none"/>
          <w14:textFill>
            <w14:solidFill>
              <w14:schemeClr w14:val="tx1"/>
            </w14:solidFill>
          </w14:textFill>
        </w:rPr>
        <w:t>.00分</w:t>
      </w:r>
    </w:p>
    <w:tbl>
      <w:tblPr>
        <w:tblStyle w:val="17"/>
        <w:tblW w:w="10033"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748"/>
        <w:gridCol w:w="1025"/>
        <w:gridCol w:w="7260"/>
      </w:tblGrid>
      <w:tr w14:paraId="70347DD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0" w:hRule="atLeast"/>
          <w:jc w:val="center"/>
        </w:trPr>
        <w:tc>
          <w:tcPr>
            <w:tcW w:w="1748" w:type="dxa"/>
            <w:vAlign w:val="center"/>
          </w:tcPr>
          <w:p w14:paraId="1C1A77C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项目</w:t>
            </w:r>
          </w:p>
        </w:tc>
        <w:tc>
          <w:tcPr>
            <w:tcW w:w="1025" w:type="dxa"/>
            <w:vAlign w:val="center"/>
          </w:tcPr>
          <w:p w14:paraId="12E0A8D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分值</w:t>
            </w:r>
          </w:p>
        </w:tc>
        <w:tc>
          <w:tcPr>
            <w:tcW w:w="7260" w:type="dxa"/>
            <w:vAlign w:val="center"/>
          </w:tcPr>
          <w:p w14:paraId="282D97D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描述</w:t>
            </w:r>
          </w:p>
        </w:tc>
      </w:tr>
      <w:tr w14:paraId="71DAB4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0" w:hRule="atLeast"/>
          <w:jc w:val="center"/>
        </w:trPr>
        <w:tc>
          <w:tcPr>
            <w:tcW w:w="1748" w:type="dxa"/>
            <w:vAlign w:val="center"/>
          </w:tcPr>
          <w:p w14:paraId="0C855560">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认证证书</w:t>
            </w:r>
          </w:p>
        </w:tc>
        <w:tc>
          <w:tcPr>
            <w:tcW w:w="1025" w:type="dxa"/>
            <w:vAlign w:val="center"/>
          </w:tcPr>
          <w:p w14:paraId="64E6FC3D">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260" w:type="dxa"/>
            <w:vAlign w:val="center"/>
          </w:tcPr>
          <w:p w14:paraId="1717D0D4">
            <w:pPr>
              <w:keepNext w:val="0"/>
              <w:keepLines w:val="0"/>
              <w:widowControl/>
              <w:suppressLineNumbers w:val="0"/>
              <w:spacing w:before="0" w:beforeAutospacing="0" w:after="0" w:afterAutospacing="0" w:line="360" w:lineRule="auto"/>
              <w:ind w:left="0" w:right="0"/>
              <w:jc w:val="left"/>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标人具备信息安全管理体系认证证书、信息技术服务管理体系认证证书的，每提供1本认证证书的得1.5分，满分3分，须提供有效期内的认证证书复印件及该证书在全国认证认可信息公共服务平台（http://cx.cnca.cn）查询结果为有效的查询结果网页或截图打印件，未提供或提供的材料不齐全的不得分。</w:t>
            </w:r>
          </w:p>
        </w:tc>
      </w:tr>
      <w:tr w14:paraId="706245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0" w:hRule="atLeast"/>
          <w:jc w:val="center"/>
        </w:trPr>
        <w:tc>
          <w:tcPr>
            <w:tcW w:w="1748" w:type="dxa"/>
            <w:vAlign w:val="center"/>
          </w:tcPr>
          <w:p w14:paraId="179EA312">
            <w:pPr>
              <w:keepNext w:val="0"/>
              <w:keepLines w:val="0"/>
              <w:widowControl/>
              <w:suppressLineNumbers w:val="0"/>
              <w:spacing w:before="0" w:beforeAutospacing="0" w:after="0" w:afterAutospacing="0" w:line="360" w:lineRule="auto"/>
              <w:ind w:left="0" w:right="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业绩</w:t>
            </w:r>
          </w:p>
        </w:tc>
        <w:tc>
          <w:tcPr>
            <w:tcW w:w="1025" w:type="dxa"/>
            <w:vAlign w:val="center"/>
          </w:tcPr>
          <w:p w14:paraId="665FD194">
            <w:pPr>
              <w:keepNext w:val="0"/>
              <w:keepLines w:val="0"/>
              <w:widowControl/>
              <w:suppressLineNumbers w:val="0"/>
              <w:spacing w:before="0" w:beforeAutospacing="0" w:after="0" w:afterAutospacing="0" w:line="360" w:lineRule="auto"/>
              <w:ind w:left="0" w:right="0"/>
              <w:jc w:val="center"/>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260" w:type="dxa"/>
            <w:vAlign w:val="center"/>
          </w:tcPr>
          <w:p w14:paraId="39B724F6">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各投标人提供自2019年1月1日起至本项目投标截止时间止（日期以合同签订时间为准），完成与本项目同类项目业绩的，每提供一项得1分，满分3分。投标人须提供该业绩项目的中标（或成交）公告（提供相关网站中标（或成交）公告的下载网页并注明网址）、中标（或成交）通知书复印件、采购合同文本复印件，以及能够证明该业绩项目已经采购人验收合格的相关证明文件复印件，未同时提供上述材料的不得分；评标过程中如发现填报不实，本项不得分；合同履行过程中发现本项有虚假者，取消其中标资格，并追究相应的法律责任和相应的赔偿。</w:t>
            </w:r>
          </w:p>
        </w:tc>
      </w:tr>
      <w:tr w14:paraId="5195E3B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85" w:hRule="atLeast"/>
          <w:jc w:val="center"/>
        </w:trPr>
        <w:tc>
          <w:tcPr>
            <w:tcW w:w="1748" w:type="dxa"/>
            <w:vAlign w:val="center"/>
          </w:tcPr>
          <w:p w14:paraId="5AB7206E">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售后服务方案</w:t>
            </w:r>
          </w:p>
        </w:tc>
        <w:tc>
          <w:tcPr>
            <w:tcW w:w="1025" w:type="dxa"/>
            <w:vAlign w:val="center"/>
          </w:tcPr>
          <w:p w14:paraId="0D7231E4">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firstLine="240" w:firstLineChars="1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260" w:type="dxa"/>
            <w:vAlign w:val="top"/>
          </w:tcPr>
          <w:p w14:paraId="0EBAE806">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根据各投标人针对本项目提供售后服务方案（应至少包含：服务承诺、技术支持、服务流程、服务团队成员配置、运维保障、软硬件日常运维、故障诊断等），由评标委员会进行评分：</w:t>
            </w:r>
            <w:r>
              <w:rPr>
                <w:rFonts w:hint="eastAsia" w:ascii="宋体" w:hAnsi="宋体" w:eastAsia="宋体" w:cs="宋体"/>
                <w:sz w:val="24"/>
                <w:szCs w:val="24"/>
                <w:lang w:val="en-US" w:eastAsia="zh-CN" w:bidi="ar"/>
              </w:rPr>
              <w:t>方案包含的要点齐全无缺漏项、内容与要点相符、每个要点均有展开详细的阐述、整体思路结构清晰、逻辑性强，内容描述</w:t>
            </w:r>
            <w:r>
              <w:rPr>
                <w:rFonts w:hint="eastAsia" w:cs="宋体"/>
                <w:sz w:val="24"/>
                <w:szCs w:val="24"/>
                <w:lang w:val="en-US" w:eastAsia="zh-CN" w:bidi="ar"/>
              </w:rPr>
              <w:t>能够全部满足</w:t>
            </w:r>
            <w:r>
              <w:rPr>
                <w:rFonts w:hint="eastAsia" w:ascii="宋体" w:hAnsi="宋体" w:eastAsia="宋体" w:cs="宋体"/>
                <w:sz w:val="24"/>
                <w:szCs w:val="24"/>
                <w:lang w:val="en-US" w:eastAsia="zh-CN" w:bidi="ar"/>
              </w:rPr>
              <w:t>本项目的得3分；方案所包含的要点齐全、内容与要点相符、每个要点均有展开阐述（没有特别具体）、整体思路结构较清晰、逻辑性较强，内容描述较合理，细节考虑较周全且基本能够适用于本项目的得2.5分；方案所包含的要点齐全、内容与要点相符但仅有纲要、内容简略，未展开详细阐述但基本能够适用于本项目的得2.25分；方案所包含的要点有缺漏、未提供或内容存在明显错误、内容明显不适用于本项目需求的均不得分。</w:t>
            </w:r>
          </w:p>
        </w:tc>
      </w:tr>
      <w:tr w14:paraId="47EDD70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0" w:hRule="atLeast"/>
          <w:jc w:val="center"/>
        </w:trPr>
        <w:tc>
          <w:tcPr>
            <w:tcW w:w="1748" w:type="dxa"/>
            <w:vAlign w:val="center"/>
          </w:tcPr>
          <w:p w14:paraId="72953F7D">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技术培训方案</w:t>
            </w:r>
          </w:p>
        </w:tc>
        <w:tc>
          <w:tcPr>
            <w:tcW w:w="1025" w:type="dxa"/>
            <w:vAlign w:val="center"/>
          </w:tcPr>
          <w:p w14:paraId="16EF2E5C">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firstLine="240" w:firstLineChars="1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260" w:type="dxa"/>
            <w:vAlign w:val="top"/>
          </w:tcPr>
          <w:p w14:paraId="67683525">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根据各投标人针对本项目提供的技术培训方案（包括但不限于培训内容，培训方式，培训计划等方案）由评标委员会进行评分：</w:t>
            </w:r>
            <w:r>
              <w:rPr>
                <w:rFonts w:hint="eastAsia" w:ascii="宋体" w:hAnsi="宋体" w:eastAsia="宋体" w:cs="宋体"/>
                <w:sz w:val="24"/>
                <w:szCs w:val="24"/>
                <w:lang w:val="en-US" w:eastAsia="zh-CN" w:bidi="ar"/>
              </w:rPr>
              <w:t>方案包含的要点齐全无缺漏项、内容与要点相符、每个要点均有展开详细的阐述、整体思路结构清晰、逻辑性强，内容描述</w:t>
            </w:r>
            <w:r>
              <w:rPr>
                <w:rFonts w:hint="eastAsia" w:cs="宋体"/>
                <w:sz w:val="24"/>
                <w:szCs w:val="24"/>
                <w:lang w:val="en-US" w:eastAsia="zh-CN" w:bidi="ar"/>
              </w:rPr>
              <w:t>能够全部满足</w:t>
            </w:r>
            <w:r>
              <w:rPr>
                <w:rFonts w:hint="eastAsia" w:ascii="宋体" w:hAnsi="宋体" w:eastAsia="宋体" w:cs="宋体"/>
                <w:sz w:val="24"/>
                <w:szCs w:val="24"/>
                <w:lang w:val="en-US" w:eastAsia="zh-CN" w:bidi="ar"/>
              </w:rPr>
              <w:t>本项目的得3分；方案所包含的要点齐全、内容与要点相符、每个要点均有展开阐述（没有特别具体）、整体思路结构较清晰、逻辑性较强，内容描述较合理，细节考虑较周全且基本能够适用于本项目的得2.5分；方案所包含的要点齐全、内容与要点相符但仅有纲要、内容简略，未展开详细阐述但基本能够适用于本项目的得2.25分；方案所包含的要点有缺漏、未提供或内容存在明显错误、内容明显不适用于本项目需求的均不得分。</w:t>
            </w:r>
          </w:p>
        </w:tc>
      </w:tr>
      <w:tr w14:paraId="57C73F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0" w:hRule="atLeast"/>
          <w:jc w:val="center"/>
        </w:trPr>
        <w:tc>
          <w:tcPr>
            <w:tcW w:w="1748" w:type="dxa"/>
            <w:vAlign w:val="center"/>
          </w:tcPr>
          <w:p w14:paraId="190BFA18">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应急响应</w:t>
            </w:r>
          </w:p>
        </w:tc>
        <w:tc>
          <w:tcPr>
            <w:tcW w:w="1025" w:type="dxa"/>
            <w:vAlign w:val="center"/>
          </w:tcPr>
          <w:p w14:paraId="1597929D">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firstLine="240" w:firstLineChars="100"/>
              <w:jc w:val="left"/>
              <w:textAlignment w:val="auto"/>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w:t>
            </w:r>
          </w:p>
        </w:tc>
        <w:tc>
          <w:tcPr>
            <w:tcW w:w="7260" w:type="dxa"/>
            <w:vAlign w:val="top"/>
          </w:tcPr>
          <w:p w14:paraId="1F314C55">
            <w:pPr>
              <w:pStyle w:val="32"/>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leftChars="0" w:right="0" w:rightChars="0"/>
              <w:jc w:val="left"/>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投标人承诺在维护期内，系统发生故障时在接到故障申告后1小时内响应，并提供相应解决措施，无法线上沟通解决的应于2小时内派人至现场解决的得3分。</w:t>
            </w:r>
            <w:r>
              <w:rPr>
                <w:rFonts w:hint="eastAsia" w:ascii="宋体" w:hAnsi="宋体" w:eastAsia="宋体" w:cs="宋体"/>
                <w:b/>
                <w:bCs/>
                <w:color w:val="auto"/>
                <w:kern w:val="2"/>
                <w:sz w:val="24"/>
                <w:szCs w:val="24"/>
                <w:highlight w:val="none"/>
                <w:lang w:val="en-US" w:eastAsia="zh-CN" w:bidi="ar-SA"/>
              </w:rPr>
              <w:t>投标人须</w:t>
            </w:r>
            <w:r>
              <w:rPr>
                <w:rFonts w:hint="eastAsia" w:cs="宋体"/>
                <w:b/>
                <w:bCs/>
                <w:color w:val="auto"/>
                <w:kern w:val="2"/>
                <w:sz w:val="24"/>
                <w:szCs w:val="24"/>
                <w:highlight w:val="none"/>
                <w:lang w:val="en-US" w:eastAsia="zh-CN" w:bidi="ar-SA"/>
              </w:rPr>
              <w:t>针对以上内容</w:t>
            </w:r>
            <w:r>
              <w:rPr>
                <w:rFonts w:hint="eastAsia" w:ascii="宋体" w:hAnsi="宋体" w:eastAsia="宋体" w:cs="宋体"/>
                <w:b/>
                <w:bCs/>
                <w:color w:val="auto"/>
                <w:kern w:val="2"/>
                <w:sz w:val="24"/>
                <w:szCs w:val="24"/>
                <w:highlight w:val="none"/>
                <w:lang w:val="en-US" w:eastAsia="zh-CN" w:bidi="ar-SA"/>
              </w:rPr>
              <w:t>提供</w:t>
            </w:r>
            <w:r>
              <w:rPr>
                <w:rFonts w:hint="eastAsia" w:cs="宋体"/>
                <w:b/>
                <w:bCs/>
                <w:color w:val="auto"/>
                <w:kern w:val="2"/>
                <w:sz w:val="24"/>
                <w:szCs w:val="24"/>
                <w:highlight w:val="none"/>
                <w:lang w:val="en-US" w:eastAsia="zh-CN" w:bidi="ar-SA"/>
              </w:rPr>
              <w:t>专项</w:t>
            </w:r>
            <w:r>
              <w:rPr>
                <w:rFonts w:hint="eastAsia" w:ascii="宋体" w:hAnsi="宋体" w:eastAsia="宋体" w:cs="宋体"/>
                <w:b/>
                <w:bCs/>
                <w:color w:val="auto"/>
                <w:kern w:val="2"/>
                <w:sz w:val="24"/>
                <w:szCs w:val="24"/>
                <w:highlight w:val="none"/>
                <w:lang w:val="en-US" w:eastAsia="zh-CN" w:bidi="ar-SA"/>
              </w:rPr>
              <w:t>承诺函（格式自拟），未提供或承诺的内容不符合要求的本项不得分。</w:t>
            </w:r>
          </w:p>
        </w:tc>
      </w:tr>
    </w:tbl>
    <w:p w14:paraId="1F7D6001">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（4）中标候选人排列规则顺序如下：</w:t>
      </w:r>
    </w:p>
    <w:p w14:paraId="67AB7CE4">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a.按照评标总得分（FA）由高到低顺序排列。</w:t>
      </w:r>
    </w:p>
    <w:p w14:paraId="5C6F3FE8">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b.评标总得分（FA）相同的，按照评标价（即价格扣除后的投标报价）由低到高顺序排列。</w:t>
      </w:r>
    </w:p>
    <w:p w14:paraId="28D8B02E">
      <w:pPr>
        <w:pStyle w:val="24"/>
        <w:spacing w:line="360" w:lineRule="auto"/>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c.评标总得分（FA）且评标价（即价格扣除后的投标报价）相同的并列。</w:t>
      </w:r>
    </w:p>
    <w:p w14:paraId="7D740EC4">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8、其他规定</w:t>
      </w:r>
    </w:p>
    <w:p w14:paraId="6740B522">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8.1评标应全程保密且不得透露给任一投标人或与评标工作无关的人员。</w:t>
      </w:r>
    </w:p>
    <w:p w14:paraId="365EDB2C">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8.2评标将进行全程实时录音录像，录音录像资料随采购文件一并存档。</w:t>
      </w:r>
    </w:p>
    <w:p w14:paraId="2D746019">
      <w:pPr>
        <w:pStyle w:val="24"/>
        <w:spacing w:line="360" w:lineRule="auto"/>
        <w:ind w:firstLine="480"/>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8.3若投标人有任何试图干扰具体评标事务，影响评标委员会独立履行职责的行为，其投标无效且不予退还投标保证金。情节严重的，由财政部门列入不良行为记录。</w:t>
      </w:r>
    </w:p>
    <w:p w14:paraId="76E705A0">
      <w:pPr>
        <w:pStyle w:val="24"/>
        <w:spacing w:line="360" w:lineRule="auto"/>
        <w:ind w:firstLine="480"/>
        <w:jc w:val="both"/>
        <w:rPr>
          <w:rFonts w:hint="eastAsia" w:asciiTheme="minorEastAsia" w:hAnsiTheme="minorEastAsia" w:eastAsiaTheme="minorEastAsia" w:cstheme="minorEastAsia"/>
          <w:color w:val="auto"/>
          <w:sz w:val="24"/>
          <w:szCs w:val="24"/>
          <w:highlight w:val="none"/>
          <w:lang w:eastAsia="zh-CN"/>
        </w:rPr>
      </w:pPr>
      <w:r>
        <w:rPr>
          <w:rFonts w:asciiTheme="minorEastAsia" w:hAnsiTheme="minorEastAsia" w:cstheme="minorEastAsia"/>
          <w:b/>
          <w:color w:val="auto"/>
          <w:sz w:val="24"/>
          <w:szCs w:val="24"/>
          <w:highlight w:val="none"/>
        </w:rPr>
        <w:t>8.4其他：</w:t>
      </w:r>
      <w:r>
        <w:rPr>
          <w:rFonts w:hint="eastAsia" w:asciiTheme="minorEastAsia" w:hAnsiTheme="minorEastAsia" w:cstheme="minorEastAsia"/>
          <w:b/>
          <w:color w:val="auto"/>
          <w:sz w:val="24"/>
          <w:szCs w:val="24"/>
          <w:highlight w:val="none"/>
          <w:lang w:eastAsia="zh-CN"/>
        </w:rPr>
        <w:t>无</w:t>
      </w:r>
    </w:p>
    <w:p w14:paraId="2E55BBC7">
      <w:pPr>
        <w:pStyle w:val="24"/>
        <w:rPr>
          <w:rFonts w:hint="default" w:asciiTheme="minorEastAsia" w:hAnsiTheme="minorEastAsia" w:cstheme="minorEastAsia"/>
          <w:color w:val="auto"/>
          <w:highlight w:val="none"/>
        </w:rPr>
      </w:pPr>
    </w:p>
    <w:p w14:paraId="77911737">
      <w:pPr>
        <w:pStyle w:val="24"/>
        <w:jc w:val="center"/>
        <w:rPr>
          <w:rFonts w:hint="default" w:asciiTheme="minorEastAsia" w:hAnsiTheme="minorEastAsia" w:cstheme="minorEastAsia"/>
          <w:b/>
          <w:color w:val="auto"/>
          <w:sz w:val="36"/>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85CDA75">
      <w:pPr>
        <w:pStyle w:val="24"/>
        <w:jc w:val="center"/>
        <w:rPr>
          <w:rFonts w:hint="default" w:asciiTheme="minorEastAsia" w:hAnsiTheme="minorEastAsia" w:cstheme="minorEastAsia"/>
          <w:color w:val="auto"/>
          <w:sz w:val="36"/>
          <w:szCs w:val="36"/>
          <w:highlight w:val="none"/>
        </w:rPr>
      </w:pPr>
      <w:r>
        <w:rPr>
          <w:rFonts w:asciiTheme="minorEastAsia" w:hAnsiTheme="minorEastAsia" w:cstheme="minorEastAsia"/>
          <w:b/>
          <w:color w:val="auto"/>
          <w:sz w:val="36"/>
          <w:szCs w:val="36"/>
          <w:highlight w:val="none"/>
        </w:rPr>
        <w:t>第五章 招标内容及要求</w:t>
      </w:r>
    </w:p>
    <w:p w14:paraId="2312939A">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一、项目概况（采购标的）</w:t>
      </w:r>
    </w:p>
    <w:p w14:paraId="674B32A1">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vertAlign w:val="baseline"/>
        </w:rPr>
      </w:pPr>
      <w:r>
        <w:rPr>
          <w:rFonts w:hint="eastAsia" w:ascii="宋体" w:hAnsi="宋体" w:eastAsia="宋体" w:cs="宋体"/>
          <w:sz w:val="24"/>
          <w:szCs w:val="24"/>
        </w:rPr>
        <w:t>近年来，跨境电商已经成为中国进出口贸易的重要组成部分，既是贸易方式创新的重要趋势、最具发展活力和潜力空间的贸易新业态，也是中央实施全面对外开放战略，落实“六稳六保”工作的一项战略部署。跨境电商综合试验区（以下简称综试区）是国务院为了推动跨境电商的发展而设立的特殊经济区域。综试区的设立旨在通过制度创新、管理创新、服务创新和协同发展等方式，探索跨境电商发展的新路径，为全国乃至全球的跨境电商发展提供可复制、可推广的经验。</w:t>
      </w:r>
    </w:p>
    <w:p w14:paraId="31C53D07">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2015年6月16日，国务院办公厅印发《关于促进跨境电子商务健康快速发展的指导意见》（国办发〔2015〕46号）,《意见》指出，近年来我国跨境电子商务快速发展，已经形成了一定的产业集群和交易规模。支持跨境电子商务发展，有利于用“互联网+外贸”实现优进优出，发挥我国制造业大国优势，扩大海外营销渠道；有利于增加就业，推进大众创业、万众创新，打造新的经济增长点；有利于加快实施共建“一带一路”等国家战略，推动开放型经济发展升级。针对制约跨境电子商务发展的问题，有必要加快建立适应其特点的政策体系和监管体系，营造更加便利的发展环境，促进跨境电子商务健康快速发展。</w:t>
      </w:r>
    </w:p>
    <w:p w14:paraId="60DE3EC5">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2017年10月，商务部等14个部门印发《关于复制推广跨境电子商务综合试验区探索形成的成熟经验做法的函》（商贸函〔2017〕840号），贯彻国务院第187次常务会议决定，</w:t>
      </w:r>
      <w:r>
        <w:rPr>
          <w:rFonts w:hint="eastAsia" w:ascii="宋体" w:hAnsi="宋体" w:eastAsia="宋体" w:cs="宋体"/>
          <w:sz w:val="24"/>
          <w:szCs w:val="24"/>
        </w:rPr>
        <w:t>将跨境电商线上综合服务和线下产业园区“两平台”及信息共享、金融服务、智能物流、风险防控等监管和服务“六体系”等成熟做法面向全国复制推广。</w:t>
      </w:r>
    </w:p>
    <w:p w14:paraId="5C2EE617">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2020年8月海关总署针对跨境电商业务推出《关于扩大跨境电子商务企业对企业出口监管试点范围的公告》等多项新政，新增9710/9810业务模式，需</w:t>
      </w:r>
      <w:r>
        <w:rPr>
          <w:rFonts w:hint="eastAsia" w:ascii="宋体" w:hAnsi="宋体" w:eastAsia="宋体" w:cs="宋体"/>
          <w:sz w:val="24"/>
          <w:szCs w:val="24"/>
          <w:lang w:val="en-US" w:eastAsia="zh-CN"/>
        </w:rPr>
        <w:t>建设线上公共服务平台</w:t>
      </w:r>
      <w:r>
        <w:rPr>
          <w:rFonts w:hint="eastAsia" w:ascii="宋体" w:hAnsi="宋体" w:eastAsia="宋体" w:cs="宋体"/>
          <w:sz w:val="24"/>
          <w:szCs w:val="24"/>
          <w:lang w:val="en-US"/>
        </w:rPr>
        <w:t>满足</w:t>
      </w:r>
      <w:r>
        <w:rPr>
          <w:rFonts w:hint="eastAsia" w:ascii="宋体" w:hAnsi="宋体" w:eastAsia="宋体" w:cs="宋体"/>
          <w:sz w:val="24"/>
          <w:szCs w:val="24"/>
        </w:rPr>
        <w:t>当前业务发展。</w:t>
      </w:r>
    </w:p>
    <w:p w14:paraId="739A63D3">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2021年7月国务院办公厅发布《关于加快发展外贸新业态新模式的意见》（国办发〔2021〕24号）（下称《意见》），从七个方面提出25条意见，力促外贸新业态新模式发展。《意见》覆盖了跨境电商发展的各个方面，并提出了相应的保障措施，将在新的发展阶段为外贸创新发展提供政策依据，包括：完善跨境电商发展支持政策、扎实推进跨境电子商务综合试验区建设、培育一批优秀海外仓企业、完善覆盖全球的海外仓网络。目前，我国已经设立了多个跨境电商综合试验区，覆盖多个省市。这些综试区在推动跨境电商发展方面取得了显著成效，为全国的跨境电商发展提供了有力支撑。2022年11月14日国务院印发《国务院关于同意在廊坊等33个城市和地区设立跨境电子商务综合试验区的批复》（国函〔2022〕126号），同意在宁德市设立跨境电子商务综合试验区。</w:t>
      </w:r>
    </w:p>
    <w:p w14:paraId="43BE7423">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2023年3月30日宁德市人民政府常务会议纪要第24次会议强调要把建设跨境电子商务综合试验区作为聚集各类市场主体、各种资源要素的重要平台。要保持干劲，做好试验区建设运营管理各项工作。既要立足宁德，又要跳出宁德，通过出台政策、增值服务，加大招商引资力度，吸引市场主体进驻，孵化电商企业和新业态新模式，做大做强跨境电商。要优化环境，加强人才培育支撑，提升通关便利水平。要严格绩效考核，倒逼重点工作落地落实。会议议定</w:t>
      </w:r>
      <w:r>
        <w:rPr>
          <w:rFonts w:hint="eastAsia" w:ascii="宋体" w:hAnsi="宋体" w:eastAsia="宋体" w:cs="宋体"/>
          <w:sz w:val="24"/>
          <w:szCs w:val="24"/>
          <w:lang w:eastAsia="zh-CN"/>
        </w:rPr>
        <w:t>：</w:t>
      </w:r>
    </w:p>
    <w:p w14:paraId="5C8FC1AC">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(一)原则同意《中国(宁德)跨境电子商务综合试验区实施方案》(送审稿)，由市商务局根据会议讨论意见修改完善后，以市政府名义报省政府审批。</w:t>
      </w:r>
    </w:p>
    <w:p w14:paraId="64C91DAB">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(二)同意市交投集团作为宁德市跨境电商综合试验区的投资、建设和运营主体。</w:t>
      </w:r>
    </w:p>
    <w:p w14:paraId="5D857D11">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2023年10月16日省政府办公厅印发《福建省人民政府办公厅关于印发中国（宁德）跨境电子商务综合试验区实施方案的通知》（闽政办〔2023〕31号）中通知宁德市人民政府要健全工作机制，明确责任分工，加快推进跨境电子商务综合试验区建设。省商务厅要加强与商务部等国家部委的沟通，指导宁德市开展跨境电子商务综合试验区建设，及时向商务部和省政府报送实施情况。省有关单位要按照部门职责加强对中国(宁德)跨境电子商务综合试验区建设发展的指导支持。</w:t>
      </w:r>
    </w:p>
    <w:p w14:paraId="2627AC3B">
      <w:pPr>
        <w:pStyle w:val="34"/>
        <w:keepNext w:val="0"/>
        <w:keepLines w:val="0"/>
        <w:pageBreakBefore w:val="0"/>
        <w:widowControl w:val="0"/>
        <w:kinsoku/>
        <w:wordWrap/>
        <w:overflowPunct/>
        <w:topLinePunct w:val="0"/>
        <w:autoSpaceDE/>
        <w:autoSpaceDN/>
        <w:bidi w:val="0"/>
        <w:adjustRightInd/>
        <w:spacing w:beforeLines="0" w:afterLines="0" w:line="360" w:lineRule="auto"/>
        <w:textAlignment w:val="auto"/>
        <w:rPr>
          <w:rFonts w:hint="eastAsia" w:ascii="宋体" w:hAnsi="宋体" w:eastAsia="宋体" w:cs="宋体"/>
          <w:sz w:val="24"/>
          <w:szCs w:val="24"/>
          <w:lang w:eastAsia="zh-CN"/>
        </w:rPr>
      </w:pPr>
      <w:r>
        <w:rPr>
          <w:rFonts w:hint="eastAsia" w:ascii="宋体" w:hAnsi="宋体" w:eastAsia="宋体" w:cs="宋体"/>
          <w:sz w:val="24"/>
          <w:szCs w:val="24"/>
        </w:rPr>
        <w:t>为贯彻落实国务院、福建省政府和宁德市政府关于综试区建设的部署要求,按照《国务院关于同意在廊坊等33个城市和地区设立跨境电子商务综合试验区的批复》（国函〔2022〕126号）、《国务院办公厅关于促进跨境电子商务健康快速发展的指导意见》（国办发〔2015〕46号）、《福建省人民政府办公厅关于印发中国（宁德）跨境电子商务综合试验区实施方案的通知》（闽政办〔2023〕31号）等文件精神，以及宁德市人民政府常务会议第24次会议精神，依托中国（福建）国际贸易单一窗口平台已有跨境电商综服平台、业务支撑服务，结合宁德市实际，围绕为跨境电商市场主体提供“一站式”服务的目标，</w:t>
      </w:r>
      <w:r>
        <w:rPr>
          <w:rFonts w:hint="eastAsia" w:ascii="宋体" w:hAnsi="宋体" w:eastAsia="宋体" w:cs="宋体"/>
          <w:sz w:val="24"/>
          <w:szCs w:val="24"/>
          <w:lang w:val="en-US" w:eastAsia="zh-CN"/>
        </w:rPr>
        <w:t>借鉴参考“两平台六体系”的成熟经验做法，结合宁德市实际</w:t>
      </w:r>
      <w:r>
        <w:rPr>
          <w:rFonts w:hint="eastAsia" w:ascii="宋体" w:hAnsi="宋体" w:eastAsia="宋体" w:cs="宋体"/>
          <w:sz w:val="24"/>
          <w:szCs w:val="24"/>
        </w:rPr>
        <w:t>开展建设</w:t>
      </w:r>
      <w:r>
        <w:rPr>
          <w:rFonts w:hint="eastAsia" w:ascii="宋体" w:hAnsi="宋体" w:eastAsia="宋体" w:cs="宋体"/>
          <w:sz w:val="24"/>
          <w:szCs w:val="24"/>
          <w:lang w:val="en-US" w:eastAsia="zh-CN"/>
        </w:rPr>
        <w:t>宁德市跨境电商综试区项目</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构建以“两平台六体系”为战略框架、跨境电商综试区平台为关键基石的制度体系，逐步形成线上线下深度融合的宁德跨境电商生态圈</w:t>
      </w:r>
      <w:r>
        <w:rPr>
          <w:rFonts w:hint="eastAsia" w:ascii="宋体" w:hAnsi="宋体" w:eastAsia="宋体" w:cs="宋体"/>
          <w:sz w:val="24"/>
          <w:szCs w:val="24"/>
          <w:lang w:eastAsia="zh-CN"/>
        </w:rPr>
        <w:t>。</w:t>
      </w:r>
    </w:p>
    <w:p w14:paraId="15D6F76F">
      <w:pPr>
        <w:pStyle w:val="24"/>
        <w:spacing w:line="360" w:lineRule="auto"/>
        <w:jc w:val="both"/>
        <w:rPr>
          <w:rFonts w:hint="eastAsia" w:asciiTheme="minorEastAsia" w:hAnsiTheme="minorEastAsia" w:eastAsiaTheme="minorEastAsia" w:cstheme="minorEastAsia"/>
          <w:b/>
          <w:bCs/>
          <w:color w:val="auto"/>
          <w:sz w:val="24"/>
          <w:szCs w:val="24"/>
          <w:highlight w:val="none"/>
          <w:lang w:eastAsia="zh-CN"/>
        </w:rPr>
      </w:pPr>
      <w:r>
        <w:rPr>
          <w:rFonts w:hint="eastAsia" w:asciiTheme="minorEastAsia" w:hAnsiTheme="minorEastAsia" w:cstheme="minorEastAsia"/>
          <w:b/>
          <w:bCs/>
          <w:color w:val="auto"/>
          <w:sz w:val="24"/>
          <w:szCs w:val="24"/>
          <w:highlight w:val="none"/>
          <w:lang w:eastAsia="zh-CN"/>
        </w:rPr>
        <w:t>附：《招标项目一览表》</w:t>
      </w:r>
    </w:p>
    <w:tbl>
      <w:tblPr>
        <w:tblStyle w:val="17"/>
        <w:tblW w:w="10116" w:type="dxa"/>
        <w:tblInd w:w="-10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856"/>
        <w:gridCol w:w="3411"/>
        <w:gridCol w:w="816"/>
        <w:gridCol w:w="1367"/>
        <w:gridCol w:w="1575"/>
        <w:gridCol w:w="1283"/>
      </w:tblGrid>
      <w:tr w14:paraId="68231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808" w:type="dxa"/>
            <w:tcBorders>
              <w:top w:val="single" w:color="auto" w:sz="4" w:space="0"/>
              <w:left w:val="single" w:color="auto" w:sz="4" w:space="0"/>
              <w:bottom w:val="single" w:color="auto" w:sz="4" w:space="0"/>
              <w:right w:val="single" w:color="auto" w:sz="4" w:space="0"/>
            </w:tcBorders>
            <w:noWrap w:val="0"/>
            <w:vAlign w:val="center"/>
          </w:tcPr>
          <w:p w14:paraId="119981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bookmarkStart w:id="0" w:name="_Toc229195451"/>
            <w:r>
              <w:rPr>
                <w:rFonts w:hint="eastAsia" w:ascii="宋体" w:hAnsi="宋体" w:cs="宋体"/>
                <w:b/>
                <w:bCs/>
                <w:color w:val="auto"/>
                <w:sz w:val="24"/>
                <w:szCs w:val="24"/>
                <w:highlight w:val="none"/>
                <w:lang w:eastAsia="zh-CN"/>
              </w:rPr>
              <w:t>采购</w:t>
            </w:r>
            <w:r>
              <w:rPr>
                <w:rFonts w:hint="eastAsia" w:ascii="宋体" w:hAnsi="宋体" w:cs="宋体"/>
                <w:b/>
                <w:bCs/>
                <w:color w:val="auto"/>
                <w:sz w:val="24"/>
                <w:szCs w:val="24"/>
                <w:highlight w:val="none"/>
              </w:rPr>
              <w:t>包</w:t>
            </w:r>
            <w:bookmarkEnd w:id="0"/>
          </w:p>
        </w:tc>
        <w:tc>
          <w:tcPr>
            <w:tcW w:w="856" w:type="dxa"/>
            <w:tcBorders>
              <w:top w:val="single" w:color="auto" w:sz="4" w:space="0"/>
              <w:left w:val="nil"/>
              <w:bottom w:val="single" w:color="auto" w:sz="4" w:space="0"/>
              <w:right w:val="single" w:color="auto" w:sz="4" w:space="0"/>
            </w:tcBorders>
            <w:noWrap w:val="0"/>
            <w:vAlign w:val="center"/>
          </w:tcPr>
          <w:p w14:paraId="1B136C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3411" w:type="dxa"/>
            <w:tcBorders>
              <w:top w:val="single" w:color="auto" w:sz="4" w:space="0"/>
              <w:left w:val="nil"/>
              <w:bottom w:val="single" w:color="auto" w:sz="4" w:space="0"/>
              <w:right w:val="single" w:color="auto" w:sz="4" w:space="0"/>
            </w:tcBorders>
            <w:noWrap w:val="0"/>
            <w:vAlign w:val="center"/>
          </w:tcPr>
          <w:p w14:paraId="50AA09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品目名称</w:t>
            </w:r>
          </w:p>
        </w:tc>
        <w:tc>
          <w:tcPr>
            <w:tcW w:w="816" w:type="dxa"/>
            <w:tcBorders>
              <w:top w:val="single" w:color="auto" w:sz="4" w:space="0"/>
              <w:left w:val="nil"/>
              <w:bottom w:val="single" w:color="auto" w:sz="4" w:space="0"/>
              <w:right w:val="single" w:color="auto" w:sz="4" w:space="0"/>
            </w:tcBorders>
            <w:noWrap w:val="0"/>
            <w:vAlign w:val="center"/>
          </w:tcPr>
          <w:p w14:paraId="089AF1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数量</w:t>
            </w:r>
          </w:p>
        </w:tc>
        <w:tc>
          <w:tcPr>
            <w:tcW w:w="1367" w:type="dxa"/>
            <w:tcBorders>
              <w:top w:val="single" w:color="auto" w:sz="4" w:space="0"/>
              <w:left w:val="nil"/>
              <w:bottom w:val="single" w:color="auto" w:sz="4" w:space="0"/>
              <w:right w:val="single" w:color="auto" w:sz="4" w:space="0"/>
            </w:tcBorders>
            <w:noWrap w:val="0"/>
            <w:vAlign w:val="center"/>
          </w:tcPr>
          <w:p w14:paraId="4782FB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最高单价限价（元）</w:t>
            </w:r>
          </w:p>
        </w:tc>
        <w:tc>
          <w:tcPr>
            <w:tcW w:w="1575" w:type="dxa"/>
            <w:tcBorders>
              <w:top w:val="single" w:color="auto" w:sz="4" w:space="0"/>
              <w:left w:val="nil"/>
              <w:bottom w:val="single" w:color="auto" w:sz="4" w:space="0"/>
              <w:right w:val="single" w:color="auto" w:sz="4" w:space="0"/>
            </w:tcBorders>
            <w:noWrap w:val="0"/>
            <w:vAlign w:val="center"/>
          </w:tcPr>
          <w:p w14:paraId="5E30E1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主要技术和服务要求</w:t>
            </w:r>
          </w:p>
        </w:tc>
        <w:tc>
          <w:tcPr>
            <w:tcW w:w="1283" w:type="dxa"/>
            <w:tcBorders>
              <w:top w:val="single" w:color="auto" w:sz="4" w:space="0"/>
              <w:left w:val="nil"/>
              <w:bottom w:val="single" w:color="auto" w:sz="4" w:space="0"/>
              <w:right w:val="single" w:color="auto" w:sz="4" w:space="0"/>
            </w:tcBorders>
            <w:noWrap w:val="0"/>
            <w:vAlign w:val="center"/>
          </w:tcPr>
          <w:p w14:paraId="52E7A8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最高限价（元）</w:t>
            </w:r>
          </w:p>
        </w:tc>
      </w:tr>
      <w:tr w14:paraId="5EC71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restart"/>
            <w:tcBorders>
              <w:left w:val="single" w:color="auto" w:sz="4" w:space="0"/>
              <w:right w:val="single" w:color="auto" w:sz="4" w:space="0"/>
            </w:tcBorders>
            <w:noWrap w:val="0"/>
            <w:vAlign w:val="center"/>
          </w:tcPr>
          <w:p w14:paraId="7D4243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1</w:t>
            </w:r>
          </w:p>
        </w:tc>
        <w:tc>
          <w:tcPr>
            <w:tcW w:w="856" w:type="dxa"/>
            <w:tcBorders>
              <w:left w:val="nil"/>
              <w:right w:val="single" w:color="auto" w:sz="4" w:space="0"/>
            </w:tcBorders>
            <w:noWrap w:val="0"/>
            <w:vAlign w:val="center"/>
          </w:tcPr>
          <w:p w14:paraId="5345B7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bCs/>
                <w:color w:val="auto"/>
                <w:sz w:val="24"/>
                <w:szCs w:val="24"/>
                <w:highlight w:val="none"/>
                <w:lang w:eastAsia="zh-CN"/>
              </w:rPr>
            </w:pPr>
            <w:r>
              <w:rPr>
                <w:rFonts w:hint="eastAsia" w:ascii="宋体" w:hAnsi="宋体" w:cs="宋体"/>
                <w:b/>
                <w:bCs/>
                <w:color w:val="auto"/>
                <w:sz w:val="24"/>
                <w:szCs w:val="24"/>
                <w:highlight w:val="none"/>
                <w:lang w:eastAsia="zh-CN"/>
              </w:rPr>
              <w:t>一</w:t>
            </w:r>
          </w:p>
        </w:tc>
        <w:tc>
          <w:tcPr>
            <w:tcW w:w="3411" w:type="dxa"/>
            <w:tcBorders>
              <w:left w:val="nil"/>
              <w:right w:val="single" w:color="auto" w:sz="4" w:space="0"/>
            </w:tcBorders>
            <w:noWrap w:val="0"/>
            <w:vAlign w:val="top"/>
          </w:tcPr>
          <w:p w14:paraId="246F1B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地方综试区门户</w:t>
            </w:r>
          </w:p>
        </w:tc>
        <w:tc>
          <w:tcPr>
            <w:tcW w:w="816" w:type="dxa"/>
            <w:tcBorders>
              <w:top w:val="single" w:color="auto" w:sz="4" w:space="0"/>
              <w:left w:val="nil"/>
              <w:bottom w:val="single" w:color="auto" w:sz="4" w:space="0"/>
              <w:right w:val="single" w:color="auto" w:sz="4" w:space="0"/>
            </w:tcBorders>
            <w:noWrap w:val="0"/>
            <w:vAlign w:val="center"/>
          </w:tcPr>
          <w:p w14:paraId="5DB7E7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p>
        </w:tc>
        <w:tc>
          <w:tcPr>
            <w:tcW w:w="1367" w:type="dxa"/>
            <w:tcBorders>
              <w:top w:val="single" w:color="auto" w:sz="4" w:space="0"/>
              <w:left w:val="nil"/>
              <w:bottom w:val="single" w:color="auto" w:sz="4" w:space="0"/>
              <w:right w:val="single" w:color="auto" w:sz="4" w:space="0"/>
            </w:tcBorders>
            <w:noWrap w:val="0"/>
            <w:vAlign w:val="center"/>
          </w:tcPr>
          <w:p w14:paraId="0C720D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cs="宋体" w:eastAsiaTheme="minorEastAsia"/>
                <w:color w:val="auto"/>
                <w:sz w:val="24"/>
                <w:szCs w:val="24"/>
                <w:highlight w:val="none"/>
                <w:lang w:val="en-US" w:eastAsia="zh-CN"/>
              </w:rPr>
            </w:pPr>
          </w:p>
        </w:tc>
        <w:tc>
          <w:tcPr>
            <w:tcW w:w="1575" w:type="dxa"/>
            <w:vMerge w:val="restart"/>
            <w:tcBorders>
              <w:left w:val="nil"/>
              <w:right w:val="single" w:color="auto" w:sz="4" w:space="0"/>
            </w:tcBorders>
            <w:noWrap w:val="0"/>
            <w:vAlign w:val="center"/>
          </w:tcPr>
          <w:p w14:paraId="23D3BA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r>
              <w:rPr>
                <w:rFonts w:hint="eastAsia" w:ascii="宋体" w:hAnsi="宋体" w:cs="宋体"/>
                <w:color w:val="auto"/>
                <w:sz w:val="24"/>
                <w:szCs w:val="24"/>
                <w:highlight w:val="none"/>
              </w:rPr>
              <w:t>详见第</w:t>
            </w:r>
            <w:r>
              <w:rPr>
                <w:rFonts w:hint="eastAsia" w:ascii="宋体" w:hAnsi="宋体" w:cs="宋体"/>
                <w:color w:val="auto"/>
                <w:sz w:val="24"/>
                <w:szCs w:val="24"/>
                <w:highlight w:val="none"/>
                <w:lang w:eastAsia="zh-CN"/>
              </w:rPr>
              <w:t>五</w:t>
            </w:r>
            <w:r>
              <w:rPr>
                <w:rFonts w:hint="eastAsia" w:ascii="宋体" w:hAnsi="宋体" w:cs="宋体"/>
                <w:color w:val="auto"/>
                <w:sz w:val="24"/>
                <w:szCs w:val="24"/>
                <w:highlight w:val="none"/>
              </w:rPr>
              <w:t>章招标内容及要求</w:t>
            </w:r>
          </w:p>
        </w:tc>
        <w:tc>
          <w:tcPr>
            <w:tcW w:w="1283" w:type="dxa"/>
            <w:vMerge w:val="restart"/>
            <w:tcBorders>
              <w:left w:val="nil"/>
              <w:right w:val="single" w:color="auto" w:sz="4" w:space="0"/>
            </w:tcBorders>
            <w:shd w:val="clear" w:color="auto" w:fill="auto"/>
            <w:noWrap w:val="0"/>
            <w:vAlign w:val="center"/>
          </w:tcPr>
          <w:p w14:paraId="54DE8F4E">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7150766</w:t>
            </w:r>
          </w:p>
        </w:tc>
      </w:tr>
      <w:tr w14:paraId="54982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2DF2D3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7A2046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1</w:t>
            </w:r>
          </w:p>
        </w:tc>
        <w:tc>
          <w:tcPr>
            <w:tcW w:w="3411" w:type="dxa"/>
            <w:tcBorders>
              <w:left w:val="nil"/>
              <w:right w:val="single" w:color="auto" w:sz="4" w:space="0"/>
            </w:tcBorders>
            <w:noWrap w:val="0"/>
            <w:vAlign w:val="top"/>
          </w:tcPr>
          <w:p w14:paraId="354559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综试区门户</w:t>
            </w:r>
          </w:p>
        </w:tc>
        <w:tc>
          <w:tcPr>
            <w:tcW w:w="816" w:type="dxa"/>
            <w:tcBorders>
              <w:top w:val="single" w:color="auto" w:sz="4" w:space="0"/>
              <w:left w:val="nil"/>
              <w:bottom w:val="single" w:color="auto" w:sz="4" w:space="0"/>
              <w:right w:val="single" w:color="auto" w:sz="4" w:space="0"/>
            </w:tcBorders>
            <w:noWrap w:val="0"/>
            <w:vAlign w:val="center"/>
          </w:tcPr>
          <w:p w14:paraId="21D040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4C797C54">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317520</w:t>
            </w:r>
          </w:p>
        </w:tc>
        <w:tc>
          <w:tcPr>
            <w:tcW w:w="1575" w:type="dxa"/>
            <w:vMerge w:val="continue"/>
            <w:tcBorders>
              <w:left w:val="nil"/>
              <w:right w:val="single" w:color="auto" w:sz="4" w:space="0"/>
            </w:tcBorders>
            <w:noWrap w:val="0"/>
            <w:vAlign w:val="center"/>
          </w:tcPr>
          <w:p w14:paraId="122099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365381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cstheme="minorEastAsia"/>
                <w:color w:val="auto"/>
                <w:sz w:val="24"/>
                <w:highlight w:val="none"/>
                <w:lang w:val="en-US" w:eastAsia="zh-CN"/>
              </w:rPr>
            </w:pPr>
          </w:p>
        </w:tc>
      </w:tr>
      <w:tr w14:paraId="09D5A3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6422348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3579D2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2</w:t>
            </w:r>
          </w:p>
        </w:tc>
        <w:tc>
          <w:tcPr>
            <w:tcW w:w="3411" w:type="dxa"/>
            <w:tcBorders>
              <w:left w:val="nil"/>
              <w:right w:val="single" w:color="auto" w:sz="4" w:space="0"/>
            </w:tcBorders>
            <w:noWrap w:val="0"/>
            <w:vAlign w:val="top"/>
          </w:tcPr>
          <w:p w14:paraId="7D8878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省单一窗口系统接口</w:t>
            </w:r>
          </w:p>
        </w:tc>
        <w:tc>
          <w:tcPr>
            <w:tcW w:w="816" w:type="dxa"/>
            <w:tcBorders>
              <w:top w:val="single" w:color="auto" w:sz="4" w:space="0"/>
              <w:left w:val="nil"/>
              <w:bottom w:val="single" w:color="auto" w:sz="4" w:space="0"/>
              <w:right w:val="single" w:color="auto" w:sz="4" w:space="0"/>
            </w:tcBorders>
            <w:noWrap w:val="0"/>
            <w:vAlign w:val="center"/>
          </w:tcPr>
          <w:p w14:paraId="731B67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5AAF1E7B">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370440</w:t>
            </w:r>
          </w:p>
        </w:tc>
        <w:tc>
          <w:tcPr>
            <w:tcW w:w="1575" w:type="dxa"/>
            <w:vMerge w:val="continue"/>
            <w:tcBorders>
              <w:left w:val="nil"/>
              <w:right w:val="single" w:color="auto" w:sz="4" w:space="0"/>
            </w:tcBorders>
            <w:noWrap w:val="0"/>
            <w:vAlign w:val="center"/>
          </w:tcPr>
          <w:p w14:paraId="3F5819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4B22B8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cstheme="minorEastAsia"/>
                <w:color w:val="auto"/>
                <w:sz w:val="24"/>
                <w:highlight w:val="none"/>
                <w:lang w:val="en-US" w:eastAsia="zh-CN"/>
              </w:rPr>
            </w:pPr>
          </w:p>
        </w:tc>
      </w:tr>
      <w:tr w14:paraId="702C9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78CD03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6B2F74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3</w:t>
            </w:r>
          </w:p>
        </w:tc>
        <w:tc>
          <w:tcPr>
            <w:tcW w:w="3411" w:type="dxa"/>
            <w:tcBorders>
              <w:left w:val="nil"/>
              <w:right w:val="single" w:color="auto" w:sz="4" w:space="0"/>
            </w:tcBorders>
            <w:noWrap w:val="0"/>
            <w:vAlign w:val="top"/>
          </w:tcPr>
          <w:p w14:paraId="25EE25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海关监管系统接口</w:t>
            </w:r>
          </w:p>
        </w:tc>
        <w:tc>
          <w:tcPr>
            <w:tcW w:w="816" w:type="dxa"/>
            <w:tcBorders>
              <w:top w:val="single" w:color="auto" w:sz="4" w:space="0"/>
              <w:left w:val="nil"/>
              <w:bottom w:val="single" w:color="auto" w:sz="4" w:space="0"/>
              <w:right w:val="single" w:color="auto" w:sz="4" w:space="0"/>
            </w:tcBorders>
            <w:noWrap w:val="0"/>
            <w:vAlign w:val="center"/>
          </w:tcPr>
          <w:p w14:paraId="5BA330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45F064FC">
            <w:pPr>
              <w:keepNext w:val="0"/>
              <w:keepLines w:val="0"/>
              <w:widowControl/>
              <w:suppressLineNumbers w:val="0"/>
              <w:spacing w:before="0" w:beforeAutospacing="0" w:after="0" w:afterAutospacing="0"/>
              <w:ind w:left="0" w:right="0"/>
              <w:jc w:val="center"/>
              <w:textAlignment w:val="center"/>
              <w:rPr>
                <w:rFonts w:hint="default" w:ascii="宋体" w:hAnsi="宋体" w:cs="宋体"/>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158760</w:t>
            </w:r>
          </w:p>
        </w:tc>
        <w:tc>
          <w:tcPr>
            <w:tcW w:w="1575" w:type="dxa"/>
            <w:vMerge w:val="continue"/>
            <w:tcBorders>
              <w:left w:val="nil"/>
              <w:right w:val="single" w:color="auto" w:sz="4" w:space="0"/>
            </w:tcBorders>
            <w:noWrap w:val="0"/>
            <w:vAlign w:val="center"/>
          </w:tcPr>
          <w:p w14:paraId="78F21B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5234B1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cstheme="minorEastAsia"/>
                <w:color w:val="auto"/>
                <w:sz w:val="24"/>
                <w:highlight w:val="none"/>
                <w:lang w:val="en-US" w:eastAsia="zh-CN"/>
              </w:rPr>
            </w:pPr>
          </w:p>
        </w:tc>
      </w:tr>
      <w:tr w14:paraId="628AE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07D54C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3A7C63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bCs/>
                <w:color w:val="auto"/>
                <w:sz w:val="24"/>
                <w:szCs w:val="24"/>
                <w:highlight w:val="none"/>
                <w:lang w:eastAsia="zh-CN"/>
              </w:rPr>
            </w:pPr>
            <w:r>
              <w:rPr>
                <w:rFonts w:hint="eastAsia" w:ascii="宋体" w:hAnsi="宋体" w:cs="宋体"/>
                <w:b/>
                <w:bCs/>
                <w:color w:val="auto"/>
                <w:sz w:val="24"/>
                <w:szCs w:val="24"/>
                <w:highlight w:val="none"/>
                <w:lang w:eastAsia="zh-CN"/>
              </w:rPr>
              <w:t>二</w:t>
            </w:r>
          </w:p>
        </w:tc>
        <w:tc>
          <w:tcPr>
            <w:tcW w:w="3411" w:type="dxa"/>
            <w:tcBorders>
              <w:left w:val="nil"/>
              <w:right w:val="single" w:color="auto" w:sz="4" w:space="0"/>
            </w:tcBorders>
            <w:noWrap w:val="0"/>
            <w:vAlign w:val="center"/>
          </w:tcPr>
          <w:p w14:paraId="334A3E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en-US" w:eastAsia="zh-CN"/>
              </w:rPr>
              <w:t>业务支撑服务</w:t>
            </w:r>
          </w:p>
        </w:tc>
        <w:tc>
          <w:tcPr>
            <w:tcW w:w="816" w:type="dxa"/>
            <w:tcBorders>
              <w:top w:val="single" w:color="auto" w:sz="4" w:space="0"/>
              <w:left w:val="nil"/>
              <w:bottom w:val="single" w:color="auto" w:sz="4" w:space="0"/>
              <w:right w:val="single" w:color="auto" w:sz="4" w:space="0"/>
            </w:tcBorders>
            <w:noWrap w:val="0"/>
            <w:vAlign w:val="center"/>
          </w:tcPr>
          <w:p w14:paraId="79859A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p>
        </w:tc>
        <w:tc>
          <w:tcPr>
            <w:tcW w:w="1367" w:type="dxa"/>
            <w:tcBorders>
              <w:top w:val="single" w:color="auto" w:sz="4" w:space="0"/>
              <w:left w:val="nil"/>
              <w:bottom w:val="single" w:color="auto" w:sz="4" w:space="0"/>
              <w:right w:val="single" w:color="auto" w:sz="4" w:space="0"/>
            </w:tcBorders>
            <w:noWrap w:val="0"/>
            <w:vAlign w:val="center"/>
          </w:tcPr>
          <w:p w14:paraId="1A4AA8CC">
            <w:pPr>
              <w:keepNext w:val="0"/>
              <w:keepLines w:val="0"/>
              <w:suppressLineNumbers w:val="0"/>
              <w:spacing w:before="0" w:beforeAutospacing="0" w:after="0" w:afterAutospacing="0"/>
              <w:ind w:left="0" w:right="0"/>
              <w:jc w:val="center"/>
              <w:rPr>
                <w:rFonts w:hint="default" w:ascii="宋体" w:hAnsi="宋体" w:cs="宋体" w:eastAsiaTheme="minorEastAsia"/>
                <w:color w:val="auto"/>
                <w:sz w:val="24"/>
                <w:szCs w:val="24"/>
                <w:highlight w:val="none"/>
                <w:lang w:val="en-US" w:eastAsia="zh-CN"/>
              </w:rPr>
            </w:pPr>
          </w:p>
        </w:tc>
        <w:tc>
          <w:tcPr>
            <w:tcW w:w="1575" w:type="dxa"/>
            <w:vMerge w:val="continue"/>
            <w:tcBorders>
              <w:left w:val="nil"/>
              <w:right w:val="single" w:color="auto" w:sz="4" w:space="0"/>
            </w:tcBorders>
            <w:noWrap w:val="0"/>
            <w:vAlign w:val="center"/>
          </w:tcPr>
          <w:p w14:paraId="0CADC7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77931E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46AF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1F6D6E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7B926B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1</w:t>
            </w:r>
          </w:p>
        </w:tc>
        <w:tc>
          <w:tcPr>
            <w:tcW w:w="3411" w:type="dxa"/>
            <w:tcBorders>
              <w:left w:val="nil"/>
              <w:right w:val="single" w:color="auto" w:sz="4" w:space="0"/>
            </w:tcBorders>
            <w:noWrap w:val="0"/>
            <w:vAlign w:val="top"/>
          </w:tcPr>
          <w:p w14:paraId="5DC0D5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单证支撑服务</w:t>
            </w:r>
          </w:p>
        </w:tc>
        <w:tc>
          <w:tcPr>
            <w:tcW w:w="816" w:type="dxa"/>
            <w:tcBorders>
              <w:top w:val="single" w:color="auto" w:sz="4" w:space="0"/>
              <w:left w:val="nil"/>
              <w:bottom w:val="single" w:color="auto" w:sz="4" w:space="0"/>
              <w:right w:val="single" w:color="auto" w:sz="4" w:space="0"/>
            </w:tcBorders>
            <w:noWrap w:val="0"/>
            <w:vAlign w:val="center"/>
          </w:tcPr>
          <w:p w14:paraId="7A500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1CEB1395">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478240</w:t>
            </w:r>
          </w:p>
        </w:tc>
        <w:tc>
          <w:tcPr>
            <w:tcW w:w="1575" w:type="dxa"/>
            <w:vMerge w:val="continue"/>
            <w:tcBorders>
              <w:left w:val="nil"/>
              <w:right w:val="single" w:color="auto" w:sz="4" w:space="0"/>
            </w:tcBorders>
            <w:noWrap w:val="0"/>
            <w:vAlign w:val="center"/>
          </w:tcPr>
          <w:p w14:paraId="19B64C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194C6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52101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1FAD461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064F933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2</w:t>
            </w:r>
          </w:p>
        </w:tc>
        <w:tc>
          <w:tcPr>
            <w:tcW w:w="3411" w:type="dxa"/>
            <w:tcBorders>
              <w:left w:val="nil"/>
              <w:right w:val="single" w:color="auto" w:sz="4" w:space="0"/>
            </w:tcBorders>
            <w:noWrap w:val="0"/>
            <w:vAlign w:val="top"/>
          </w:tcPr>
          <w:p w14:paraId="1A8F15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跨境业务支撑服务</w:t>
            </w:r>
          </w:p>
        </w:tc>
        <w:tc>
          <w:tcPr>
            <w:tcW w:w="816" w:type="dxa"/>
            <w:tcBorders>
              <w:top w:val="single" w:color="auto" w:sz="4" w:space="0"/>
              <w:left w:val="nil"/>
              <w:bottom w:val="single" w:color="auto" w:sz="4" w:space="0"/>
              <w:right w:val="single" w:color="auto" w:sz="4" w:space="0"/>
            </w:tcBorders>
            <w:noWrap w:val="0"/>
            <w:vAlign w:val="center"/>
          </w:tcPr>
          <w:p w14:paraId="289693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5FD2870F">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478240</w:t>
            </w:r>
          </w:p>
        </w:tc>
        <w:tc>
          <w:tcPr>
            <w:tcW w:w="1575" w:type="dxa"/>
            <w:vMerge w:val="continue"/>
            <w:tcBorders>
              <w:left w:val="nil"/>
              <w:right w:val="single" w:color="auto" w:sz="4" w:space="0"/>
            </w:tcBorders>
            <w:noWrap w:val="0"/>
            <w:vAlign w:val="center"/>
          </w:tcPr>
          <w:p w14:paraId="52DA3E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7C3F20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2C06D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5" w:hRule="atLeast"/>
        </w:trPr>
        <w:tc>
          <w:tcPr>
            <w:tcW w:w="808" w:type="dxa"/>
            <w:vMerge w:val="continue"/>
            <w:tcBorders>
              <w:left w:val="single" w:color="auto" w:sz="4" w:space="0"/>
              <w:right w:val="single" w:color="auto" w:sz="4" w:space="0"/>
            </w:tcBorders>
            <w:noWrap w:val="0"/>
            <w:vAlign w:val="center"/>
          </w:tcPr>
          <w:p w14:paraId="37863D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1D04FA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三</w:t>
            </w:r>
          </w:p>
        </w:tc>
        <w:tc>
          <w:tcPr>
            <w:tcW w:w="3411" w:type="dxa"/>
            <w:tcBorders>
              <w:left w:val="nil"/>
              <w:right w:val="single" w:color="auto" w:sz="4" w:space="0"/>
            </w:tcBorders>
            <w:noWrap w:val="0"/>
            <w:vAlign w:val="center"/>
          </w:tcPr>
          <w:p w14:paraId="7B123C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统计与展示系统</w:t>
            </w:r>
          </w:p>
        </w:tc>
        <w:tc>
          <w:tcPr>
            <w:tcW w:w="816" w:type="dxa"/>
            <w:tcBorders>
              <w:top w:val="single" w:color="auto" w:sz="4" w:space="0"/>
              <w:left w:val="nil"/>
              <w:bottom w:val="single" w:color="auto" w:sz="4" w:space="0"/>
              <w:right w:val="single" w:color="auto" w:sz="4" w:space="0"/>
            </w:tcBorders>
            <w:noWrap w:val="0"/>
            <w:vAlign w:val="center"/>
          </w:tcPr>
          <w:p w14:paraId="0370B5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222139E5">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799680</w:t>
            </w:r>
          </w:p>
        </w:tc>
        <w:tc>
          <w:tcPr>
            <w:tcW w:w="1575" w:type="dxa"/>
            <w:vMerge w:val="continue"/>
            <w:tcBorders>
              <w:left w:val="nil"/>
              <w:right w:val="single" w:color="auto" w:sz="4" w:space="0"/>
            </w:tcBorders>
            <w:noWrap w:val="0"/>
            <w:vAlign w:val="center"/>
          </w:tcPr>
          <w:p w14:paraId="343DB3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4D5C7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3FC49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4" w:hRule="atLeast"/>
        </w:trPr>
        <w:tc>
          <w:tcPr>
            <w:tcW w:w="808" w:type="dxa"/>
            <w:vMerge w:val="continue"/>
            <w:tcBorders>
              <w:left w:val="single" w:color="auto" w:sz="4" w:space="0"/>
              <w:right w:val="single" w:color="auto" w:sz="4" w:space="0"/>
            </w:tcBorders>
            <w:noWrap w:val="0"/>
            <w:vAlign w:val="center"/>
          </w:tcPr>
          <w:p w14:paraId="31F4F9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792FFA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eastAsia="zh-CN"/>
              </w:rPr>
            </w:pPr>
            <w:r>
              <w:rPr>
                <w:rFonts w:hint="eastAsia" w:ascii="宋体" w:hAnsi="宋体" w:cs="宋体"/>
                <w:b/>
                <w:bCs/>
                <w:color w:val="auto"/>
                <w:sz w:val="24"/>
                <w:szCs w:val="24"/>
                <w:highlight w:val="none"/>
                <w:lang w:eastAsia="zh-CN"/>
              </w:rPr>
              <w:t>四</w:t>
            </w:r>
          </w:p>
        </w:tc>
        <w:tc>
          <w:tcPr>
            <w:tcW w:w="3411" w:type="dxa"/>
            <w:tcBorders>
              <w:left w:val="nil"/>
              <w:right w:val="single" w:color="auto" w:sz="4" w:space="0"/>
            </w:tcBorders>
            <w:noWrap w:val="0"/>
            <w:vAlign w:val="center"/>
          </w:tcPr>
          <w:p w14:paraId="7CE418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r>
              <w:rPr>
                <w:rFonts w:hint="eastAsia" w:ascii="宋体" w:hAnsi="宋体" w:cs="宋体"/>
                <w:b/>
                <w:bCs/>
                <w:color w:val="auto"/>
                <w:sz w:val="24"/>
                <w:szCs w:val="24"/>
                <w:highlight w:val="none"/>
              </w:rPr>
              <w:t>监管场所支撑系统</w:t>
            </w:r>
          </w:p>
        </w:tc>
        <w:tc>
          <w:tcPr>
            <w:tcW w:w="816" w:type="dxa"/>
            <w:tcBorders>
              <w:top w:val="single" w:color="auto" w:sz="4" w:space="0"/>
              <w:left w:val="nil"/>
              <w:bottom w:val="single" w:color="auto" w:sz="4" w:space="0"/>
              <w:right w:val="single" w:color="auto" w:sz="4" w:space="0"/>
            </w:tcBorders>
            <w:noWrap w:val="0"/>
            <w:vAlign w:val="center"/>
          </w:tcPr>
          <w:p w14:paraId="5BF6EC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367" w:type="dxa"/>
            <w:tcBorders>
              <w:top w:val="single" w:color="auto" w:sz="4" w:space="0"/>
              <w:left w:val="nil"/>
              <w:bottom w:val="single" w:color="auto" w:sz="4" w:space="0"/>
              <w:right w:val="single" w:color="auto" w:sz="4" w:space="0"/>
            </w:tcBorders>
            <w:noWrap w:val="0"/>
            <w:vAlign w:val="center"/>
          </w:tcPr>
          <w:p w14:paraId="0E240A01">
            <w:pPr>
              <w:keepNext w:val="0"/>
              <w:keepLines w:val="0"/>
              <w:suppressLineNumbers w:val="0"/>
              <w:spacing w:before="0" w:beforeAutospacing="0" w:after="0" w:afterAutospacing="0"/>
              <w:ind w:left="0" w:right="0"/>
              <w:jc w:val="center"/>
              <w:rPr>
                <w:rFonts w:hint="default" w:ascii="宋体" w:hAnsi="宋体" w:cs="宋体" w:eastAsiaTheme="minorEastAsia"/>
                <w:color w:val="auto"/>
                <w:sz w:val="24"/>
                <w:szCs w:val="24"/>
                <w:highlight w:val="none"/>
                <w:lang w:val="en-US" w:eastAsia="zh-CN"/>
              </w:rPr>
            </w:pPr>
          </w:p>
        </w:tc>
        <w:tc>
          <w:tcPr>
            <w:tcW w:w="1575" w:type="dxa"/>
            <w:vMerge w:val="continue"/>
            <w:tcBorders>
              <w:left w:val="nil"/>
              <w:right w:val="single" w:color="auto" w:sz="4" w:space="0"/>
            </w:tcBorders>
            <w:noWrap w:val="0"/>
            <w:vAlign w:val="center"/>
          </w:tcPr>
          <w:p w14:paraId="55DE1F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45D4E0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5DB9C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trPr>
        <w:tc>
          <w:tcPr>
            <w:tcW w:w="808" w:type="dxa"/>
            <w:vMerge w:val="continue"/>
            <w:tcBorders>
              <w:left w:val="single" w:color="auto" w:sz="4" w:space="0"/>
              <w:right w:val="single" w:color="auto" w:sz="4" w:space="0"/>
            </w:tcBorders>
            <w:noWrap w:val="0"/>
            <w:vAlign w:val="center"/>
          </w:tcPr>
          <w:p w14:paraId="72EA4A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377C62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1</w:t>
            </w:r>
          </w:p>
        </w:tc>
        <w:tc>
          <w:tcPr>
            <w:tcW w:w="3411" w:type="dxa"/>
            <w:tcBorders>
              <w:left w:val="nil"/>
              <w:right w:val="single" w:color="auto" w:sz="4" w:space="0"/>
            </w:tcBorders>
            <w:noWrap w:val="0"/>
            <w:vAlign w:val="center"/>
          </w:tcPr>
          <w:p w14:paraId="063CDA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场站管理系统</w:t>
            </w:r>
          </w:p>
        </w:tc>
        <w:tc>
          <w:tcPr>
            <w:tcW w:w="816" w:type="dxa"/>
            <w:tcBorders>
              <w:top w:val="single" w:color="auto" w:sz="4" w:space="0"/>
              <w:left w:val="nil"/>
              <w:bottom w:val="single" w:color="auto" w:sz="4" w:space="0"/>
              <w:right w:val="single" w:color="auto" w:sz="4" w:space="0"/>
            </w:tcBorders>
            <w:noWrap w:val="0"/>
            <w:vAlign w:val="center"/>
          </w:tcPr>
          <w:p w14:paraId="54C8FA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1C8E73E2">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1027040</w:t>
            </w:r>
          </w:p>
        </w:tc>
        <w:tc>
          <w:tcPr>
            <w:tcW w:w="1575" w:type="dxa"/>
            <w:vMerge w:val="continue"/>
            <w:tcBorders>
              <w:left w:val="nil"/>
              <w:right w:val="single" w:color="auto" w:sz="4" w:space="0"/>
            </w:tcBorders>
            <w:noWrap w:val="0"/>
            <w:vAlign w:val="center"/>
          </w:tcPr>
          <w:p w14:paraId="65EFF1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7D11ED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7C3DB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trPr>
        <w:tc>
          <w:tcPr>
            <w:tcW w:w="808" w:type="dxa"/>
            <w:vMerge w:val="continue"/>
            <w:tcBorders>
              <w:left w:val="single" w:color="auto" w:sz="4" w:space="0"/>
              <w:right w:val="single" w:color="auto" w:sz="4" w:space="0"/>
            </w:tcBorders>
            <w:noWrap w:val="0"/>
            <w:vAlign w:val="center"/>
          </w:tcPr>
          <w:p w14:paraId="4CAE3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687D38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2</w:t>
            </w:r>
          </w:p>
        </w:tc>
        <w:tc>
          <w:tcPr>
            <w:tcW w:w="3411" w:type="dxa"/>
            <w:tcBorders>
              <w:left w:val="nil"/>
              <w:right w:val="single" w:color="auto" w:sz="4" w:space="0"/>
            </w:tcBorders>
            <w:noWrap w:val="0"/>
            <w:vAlign w:val="top"/>
          </w:tcPr>
          <w:p w14:paraId="108D2E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分拣查验系统</w:t>
            </w:r>
          </w:p>
        </w:tc>
        <w:tc>
          <w:tcPr>
            <w:tcW w:w="816" w:type="dxa"/>
            <w:tcBorders>
              <w:top w:val="single" w:color="auto" w:sz="4" w:space="0"/>
              <w:left w:val="nil"/>
              <w:bottom w:val="single" w:color="auto" w:sz="4" w:space="0"/>
              <w:right w:val="single" w:color="auto" w:sz="4" w:space="0"/>
            </w:tcBorders>
            <w:noWrap w:val="0"/>
            <w:vAlign w:val="center"/>
          </w:tcPr>
          <w:p w14:paraId="37CEF3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45A60C18">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1660120</w:t>
            </w:r>
          </w:p>
        </w:tc>
        <w:tc>
          <w:tcPr>
            <w:tcW w:w="1575" w:type="dxa"/>
            <w:vMerge w:val="continue"/>
            <w:tcBorders>
              <w:left w:val="nil"/>
              <w:right w:val="single" w:color="auto" w:sz="4" w:space="0"/>
            </w:tcBorders>
            <w:noWrap w:val="0"/>
            <w:vAlign w:val="center"/>
          </w:tcPr>
          <w:p w14:paraId="03F0CF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36E83E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04EFA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trPr>
        <w:tc>
          <w:tcPr>
            <w:tcW w:w="808" w:type="dxa"/>
            <w:vMerge w:val="continue"/>
            <w:tcBorders>
              <w:left w:val="single" w:color="auto" w:sz="4" w:space="0"/>
              <w:right w:val="single" w:color="auto" w:sz="4" w:space="0"/>
            </w:tcBorders>
            <w:noWrap w:val="0"/>
            <w:vAlign w:val="center"/>
          </w:tcPr>
          <w:p w14:paraId="3A7B4C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3AF39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3</w:t>
            </w:r>
          </w:p>
        </w:tc>
        <w:tc>
          <w:tcPr>
            <w:tcW w:w="3411" w:type="dxa"/>
            <w:tcBorders>
              <w:left w:val="nil"/>
              <w:right w:val="single" w:color="auto" w:sz="4" w:space="0"/>
            </w:tcBorders>
            <w:noWrap w:val="0"/>
            <w:vAlign w:val="top"/>
          </w:tcPr>
          <w:p w14:paraId="7336CD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视频监控系统</w:t>
            </w:r>
          </w:p>
        </w:tc>
        <w:tc>
          <w:tcPr>
            <w:tcW w:w="816" w:type="dxa"/>
            <w:tcBorders>
              <w:top w:val="single" w:color="auto" w:sz="4" w:space="0"/>
              <w:left w:val="nil"/>
              <w:bottom w:val="single" w:color="auto" w:sz="4" w:space="0"/>
              <w:right w:val="single" w:color="auto" w:sz="4" w:space="0"/>
            </w:tcBorders>
            <w:noWrap w:val="0"/>
            <w:vAlign w:val="center"/>
          </w:tcPr>
          <w:p w14:paraId="5B3968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19EA41C0">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337120</w:t>
            </w:r>
          </w:p>
        </w:tc>
        <w:tc>
          <w:tcPr>
            <w:tcW w:w="1575" w:type="dxa"/>
            <w:vMerge w:val="continue"/>
            <w:tcBorders>
              <w:left w:val="nil"/>
              <w:right w:val="single" w:color="auto" w:sz="4" w:space="0"/>
            </w:tcBorders>
            <w:noWrap w:val="0"/>
            <w:vAlign w:val="center"/>
          </w:tcPr>
          <w:p w14:paraId="10255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216DD8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5EC4F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trPr>
        <w:tc>
          <w:tcPr>
            <w:tcW w:w="808" w:type="dxa"/>
            <w:vMerge w:val="continue"/>
            <w:tcBorders>
              <w:left w:val="single" w:color="auto" w:sz="4" w:space="0"/>
              <w:right w:val="single" w:color="auto" w:sz="4" w:space="0"/>
            </w:tcBorders>
            <w:noWrap w:val="0"/>
            <w:vAlign w:val="center"/>
          </w:tcPr>
          <w:p w14:paraId="5A9CCE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63CFA7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4</w:t>
            </w:r>
          </w:p>
        </w:tc>
        <w:tc>
          <w:tcPr>
            <w:tcW w:w="3411" w:type="dxa"/>
            <w:tcBorders>
              <w:left w:val="nil"/>
              <w:right w:val="single" w:color="auto" w:sz="4" w:space="0"/>
            </w:tcBorders>
            <w:noWrap w:val="0"/>
            <w:vAlign w:val="top"/>
          </w:tcPr>
          <w:p w14:paraId="1FC02C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卡口管理系统</w:t>
            </w:r>
          </w:p>
        </w:tc>
        <w:tc>
          <w:tcPr>
            <w:tcW w:w="816" w:type="dxa"/>
            <w:tcBorders>
              <w:top w:val="single" w:color="auto" w:sz="4" w:space="0"/>
              <w:left w:val="nil"/>
              <w:bottom w:val="single" w:color="auto" w:sz="4" w:space="0"/>
              <w:right w:val="single" w:color="auto" w:sz="4" w:space="0"/>
            </w:tcBorders>
            <w:noWrap w:val="0"/>
            <w:vAlign w:val="center"/>
          </w:tcPr>
          <w:p w14:paraId="5405BF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25FE8AC9">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417480</w:t>
            </w:r>
          </w:p>
        </w:tc>
        <w:tc>
          <w:tcPr>
            <w:tcW w:w="1575" w:type="dxa"/>
            <w:vMerge w:val="continue"/>
            <w:tcBorders>
              <w:left w:val="nil"/>
              <w:right w:val="single" w:color="auto" w:sz="4" w:space="0"/>
            </w:tcBorders>
            <w:noWrap w:val="0"/>
            <w:vAlign w:val="center"/>
          </w:tcPr>
          <w:p w14:paraId="0FFD0A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3B8892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35C69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808" w:type="dxa"/>
            <w:vMerge w:val="continue"/>
            <w:tcBorders>
              <w:left w:val="single" w:color="auto" w:sz="4" w:space="0"/>
              <w:right w:val="single" w:color="auto" w:sz="4" w:space="0"/>
            </w:tcBorders>
            <w:noWrap w:val="0"/>
            <w:vAlign w:val="center"/>
          </w:tcPr>
          <w:p w14:paraId="48471C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1EBC86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5</w:t>
            </w:r>
          </w:p>
        </w:tc>
        <w:tc>
          <w:tcPr>
            <w:tcW w:w="3411" w:type="dxa"/>
            <w:tcBorders>
              <w:left w:val="nil"/>
              <w:right w:val="single" w:color="auto" w:sz="4" w:space="0"/>
            </w:tcBorders>
            <w:noWrap w:val="0"/>
            <w:vAlign w:val="top"/>
          </w:tcPr>
          <w:p w14:paraId="0E3576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海关功能房和围网</w:t>
            </w:r>
          </w:p>
        </w:tc>
        <w:tc>
          <w:tcPr>
            <w:tcW w:w="816" w:type="dxa"/>
            <w:tcBorders>
              <w:top w:val="single" w:color="auto" w:sz="4" w:space="0"/>
              <w:left w:val="nil"/>
              <w:bottom w:val="single" w:color="auto" w:sz="4" w:space="0"/>
              <w:right w:val="single" w:color="auto" w:sz="4" w:space="0"/>
            </w:tcBorders>
            <w:noWrap w:val="0"/>
            <w:vAlign w:val="center"/>
          </w:tcPr>
          <w:p w14:paraId="1D8469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2C40D9D6">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258720</w:t>
            </w:r>
          </w:p>
        </w:tc>
        <w:tc>
          <w:tcPr>
            <w:tcW w:w="1575" w:type="dxa"/>
            <w:vMerge w:val="continue"/>
            <w:tcBorders>
              <w:left w:val="nil"/>
              <w:right w:val="single" w:color="auto" w:sz="4" w:space="0"/>
            </w:tcBorders>
            <w:noWrap w:val="0"/>
            <w:vAlign w:val="center"/>
          </w:tcPr>
          <w:p w14:paraId="702833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6A5C42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59396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 w:hRule="atLeast"/>
        </w:trPr>
        <w:tc>
          <w:tcPr>
            <w:tcW w:w="808" w:type="dxa"/>
            <w:vMerge w:val="continue"/>
            <w:tcBorders>
              <w:left w:val="single" w:color="auto" w:sz="4" w:space="0"/>
              <w:right w:val="single" w:color="auto" w:sz="4" w:space="0"/>
            </w:tcBorders>
            <w:noWrap w:val="0"/>
            <w:vAlign w:val="center"/>
          </w:tcPr>
          <w:p w14:paraId="54B798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560B86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3411" w:type="dxa"/>
            <w:tcBorders>
              <w:left w:val="nil"/>
              <w:right w:val="single" w:color="auto" w:sz="4" w:space="0"/>
            </w:tcBorders>
            <w:noWrap w:val="0"/>
            <w:vAlign w:val="top"/>
          </w:tcPr>
          <w:p w14:paraId="3E6825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场站配套硬件及网络</w:t>
            </w:r>
          </w:p>
        </w:tc>
        <w:tc>
          <w:tcPr>
            <w:tcW w:w="816" w:type="dxa"/>
            <w:tcBorders>
              <w:top w:val="single" w:color="auto" w:sz="4" w:space="0"/>
              <w:left w:val="nil"/>
              <w:bottom w:val="single" w:color="auto" w:sz="4" w:space="0"/>
              <w:right w:val="single" w:color="auto" w:sz="4" w:space="0"/>
            </w:tcBorders>
            <w:noWrap w:val="0"/>
            <w:vAlign w:val="center"/>
          </w:tcPr>
          <w:p w14:paraId="3E4811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20838AC2">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499114</w:t>
            </w:r>
          </w:p>
        </w:tc>
        <w:tc>
          <w:tcPr>
            <w:tcW w:w="1575" w:type="dxa"/>
            <w:vMerge w:val="continue"/>
            <w:tcBorders>
              <w:left w:val="nil"/>
              <w:right w:val="single" w:color="auto" w:sz="4" w:space="0"/>
            </w:tcBorders>
            <w:noWrap w:val="0"/>
            <w:vAlign w:val="center"/>
          </w:tcPr>
          <w:p w14:paraId="1E4D67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2AA2FE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r w14:paraId="3EB9A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808" w:type="dxa"/>
            <w:vMerge w:val="continue"/>
            <w:tcBorders>
              <w:left w:val="single" w:color="auto" w:sz="4" w:space="0"/>
              <w:right w:val="single" w:color="auto" w:sz="4" w:space="0"/>
            </w:tcBorders>
            <w:noWrap w:val="0"/>
            <w:vAlign w:val="center"/>
          </w:tcPr>
          <w:p w14:paraId="66631E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856" w:type="dxa"/>
            <w:tcBorders>
              <w:left w:val="nil"/>
              <w:right w:val="single" w:color="auto" w:sz="4" w:space="0"/>
            </w:tcBorders>
            <w:noWrap w:val="0"/>
            <w:vAlign w:val="center"/>
          </w:tcPr>
          <w:p w14:paraId="196F11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eastAsiaTheme="minorEastAsia"/>
                <w:b/>
                <w:bCs/>
                <w:color w:val="auto"/>
                <w:sz w:val="24"/>
                <w:szCs w:val="24"/>
                <w:highlight w:val="none"/>
                <w:lang w:eastAsia="zh-CN"/>
              </w:rPr>
            </w:pPr>
            <w:r>
              <w:rPr>
                <w:rFonts w:hint="eastAsia" w:ascii="宋体" w:hAnsi="宋体" w:cs="宋体"/>
                <w:b/>
                <w:bCs/>
                <w:color w:val="auto"/>
                <w:sz w:val="24"/>
                <w:szCs w:val="24"/>
                <w:highlight w:val="none"/>
                <w:lang w:eastAsia="zh-CN"/>
              </w:rPr>
              <w:t>五</w:t>
            </w:r>
          </w:p>
        </w:tc>
        <w:tc>
          <w:tcPr>
            <w:tcW w:w="3411" w:type="dxa"/>
            <w:tcBorders>
              <w:left w:val="nil"/>
              <w:right w:val="single" w:color="auto" w:sz="4" w:space="0"/>
            </w:tcBorders>
            <w:noWrap w:val="0"/>
            <w:vAlign w:val="center"/>
          </w:tcPr>
          <w:p w14:paraId="1BDAF8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系统集成费与人员培训费</w:t>
            </w:r>
          </w:p>
        </w:tc>
        <w:tc>
          <w:tcPr>
            <w:tcW w:w="816" w:type="dxa"/>
            <w:tcBorders>
              <w:top w:val="single" w:color="auto" w:sz="4" w:space="0"/>
              <w:left w:val="nil"/>
              <w:bottom w:val="single" w:color="auto" w:sz="4" w:space="0"/>
              <w:right w:val="single" w:color="auto" w:sz="4" w:space="0"/>
            </w:tcBorders>
            <w:noWrap w:val="0"/>
            <w:vAlign w:val="center"/>
          </w:tcPr>
          <w:p w14:paraId="35617A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r>
              <w:rPr>
                <w:rFonts w:hint="eastAsia" w:ascii="宋体" w:hAnsi="宋体" w:cs="宋体"/>
                <w:b/>
                <w:bCs/>
                <w:color w:val="auto"/>
                <w:sz w:val="24"/>
                <w:szCs w:val="24"/>
                <w:highlight w:val="none"/>
              </w:rPr>
              <w:t>1项</w:t>
            </w:r>
          </w:p>
        </w:tc>
        <w:tc>
          <w:tcPr>
            <w:tcW w:w="1367" w:type="dxa"/>
            <w:tcBorders>
              <w:top w:val="single" w:color="auto" w:sz="4" w:space="0"/>
              <w:left w:val="nil"/>
              <w:bottom w:val="single" w:color="auto" w:sz="4" w:space="0"/>
              <w:right w:val="single" w:color="auto" w:sz="4" w:space="0"/>
            </w:tcBorders>
            <w:noWrap w:val="0"/>
            <w:vAlign w:val="center"/>
          </w:tcPr>
          <w:p w14:paraId="23E10EBB">
            <w:pPr>
              <w:keepNext w:val="0"/>
              <w:keepLines w:val="0"/>
              <w:widowControl/>
              <w:suppressLineNumbers w:val="0"/>
              <w:spacing w:before="0" w:beforeAutospacing="0" w:after="0" w:afterAutospacing="0"/>
              <w:ind w:left="0" w:right="0"/>
              <w:jc w:val="center"/>
              <w:textAlignment w:val="center"/>
              <w:rPr>
                <w:rFonts w:hint="default" w:ascii="宋体" w:hAnsi="宋体" w:cs="宋体" w:eastAsiaTheme="minorEastAsia"/>
                <w:color w:val="auto"/>
                <w:sz w:val="24"/>
                <w:szCs w:val="24"/>
                <w:highlight w:val="none"/>
                <w:lang w:val="en-US" w:eastAsia="zh-CN"/>
              </w:rPr>
            </w:pPr>
            <w:r>
              <w:rPr>
                <w:rFonts w:hint="eastAsia" w:ascii="宋体" w:hAnsi="宋体" w:eastAsia="宋体" w:cs="宋体"/>
                <w:i w:val="0"/>
                <w:iCs w:val="0"/>
                <w:color w:val="000000"/>
                <w:kern w:val="0"/>
                <w:sz w:val="22"/>
                <w:szCs w:val="22"/>
                <w:u w:val="none"/>
                <w:lang w:val="en-US" w:eastAsia="zh-CN" w:bidi="ar"/>
              </w:rPr>
              <w:t>348292</w:t>
            </w:r>
          </w:p>
        </w:tc>
        <w:tc>
          <w:tcPr>
            <w:tcW w:w="1575" w:type="dxa"/>
            <w:vMerge w:val="continue"/>
            <w:tcBorders>
              <w:left w:val="nil"/>
              <w:right w:val="single" w:color="auto" w:sz="4" w:space="0"/>
            </w:tcBorders>
            <w:noWrap w:val="0"/>
            <w:vAlign w:val="center"/>
          </w:tcPr>
          <w:p w14:paraId="12DE12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c>
          <w:tcPr>
            <w:tcW w:w="1283" w:type="dxa"/>
            <w:vMerge w:val="continue"/>
            <w:tcBorders>
              <w:left w:val="nil"/>
              <w:right w:val="single" w:color="auto" w:sz="4" w:space="0"/>
            </w:tcBorders>
            <w:noWrap w:val="0"/>
            <w:vAlign w:val="center"/>
          </w:tcPr>
          <w:p w14:paraId="3C51F3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宋体" w:hAnsi="宋体" w:cs="宋体"/>
                <w:color w:val="auto"/>
                <w:sz w:val="24"/>
                <w:szCs w:val="24"/>
                <w:highlight w:val="none"/>
              </w:rPr>
            </w:pPr>
          </w:p>
        </w:tc>
      </w:tr>
    </w:tbl>
    <w:p w14:paraId="6865B75B">
      <w:pPr>
        <w:pStyle w:val="24"/>
        <w:spacing w:line="360" w:lineRule="auto"/>
        <w:ind w:firstLine="482" w:firstLineChars="200"/>
        <w:jc w:val="both"/>
        <w:rPr>
          <w:rFonts w:hint="eastAsia" w:asciiTheme="minorEastAsia" w:hAnsiTheme="minorEastAsia" w:cstheme="minorEastAsia"/>
          <w:b/>
          <w:color w:val="auto"/>
          <w:sz w:val="24"/>
          <w:szCs w:val="24"/>
          <w:highlight w:val="none"/>
          <w:lang w:eastAsia="zh-CN"/>
        </w:rPr>
      </w:pPr>
      <w:r>
        <w:rPr>
          <w:rFonts w:hint="eastAsia" w:asciiTheme="minorEastAsia" w:hAnsiTheme="minorEastAsia" w:cstheme="minorEastAsia"/>
          <w:b/>
          <w:color w:val="auto"/>
          <w:sz w:val="24"/>
          <w:szCs w:val="24"/>
          <w:highlight w:val="none"/>
          <w:lang w:eastAsia="zh-CN"/>
        </w:rPr>
        <w:t>注：（</w:t>
      </w:r>
      <w:r>
        <w:rPr>
          <w:rFonts w:hint="eastAsia" w:asciiTheme="minorEastAsia" w:hAnsiTheme="minorEastAsia" w:cstheme="minorEastAsia"/>
          <w:b/>
          <w:color w:val="auto"/>
          <w:sz w:val="24"/>
          <w:szCs w:val="24"/>
          <w:highlight w:val="none"/>
          <w:lang w:val="en-US" w:eastAsia="zh-CN"/>
        </w:rPr>
        <w:t>1</w:t>
      </w:r>
      <w:r>
        <w:rPr>
          <w:rFonts w:hint="eastAsia" w:asciiTheme="minorEastAsia" w:hAnsiTheme="minorEastAsia" w:cstheme="minorEastAsia"/>
          <w:b/>
          <w:color w:val="auto"/>
          <w:sz w:val="24"/>
          <w:szCs w:val="24"/>
          <w:highlight w:val="none"/>
          <w:lang w:eastAsia="zh-CN"/>
        </w:rPr>
        <w:t>）投标人所报的价格不得高于《招标项目一览表》中采购包的品目最高单价限价及最高限价，否则按无效投标处理。</w:t>
      </w:r>
    </w:p>
    <w:p w14:paraId="46C2A310">
      <w:pPr>
        <w:pageBreakBefore w:val="0"/>
        <w:numPr>
          <w:ilvl w:val="0"/>
          <w:numId w:val="0"/>
        </w:numPr>
        <w:kinsoku/>
        <w:wordWrap/>
        <w:overflowPunct/>
        <w:topLinePunct w:val="0"/>
        <w:autoSpaceDE/>
        <w:autoSpaceDN/>
        <w:bidi w:val="0"/>
        <w:adjustRightInd/>
        <w:snapToGrid/>
        <w:spacing w:before="0" w:after="0" w:line="360" w:lineRule="auto"/>
        <w:ind w:leftChars="0" w:firstLine="482" w:firstLineChars="200"/>
        <w:textAlignment w:val="auto"/>
        <w:rPr>
          <w:rFonts w:hint="eastAsia" w:asciiTheme="minorEastAsia" w:hAnsiTheme="minorEastAsia" w:cstheme="minorEastAsia"/>
          <w:b/>
          <w:bCs w:val="0"/>
          <w:color w:val="auto"/>
          <w:sz w:val="24"/>
          <w:szCs w:val="24"/>
          <w:highlight w:val="none"/>
          <w:lang w:eastAsia="zh-CN"/>
        </w:rPr>
      </w:pPr>
      <w:r>
        <w:rPr>
          <w:rFonts w:hint="eastAsia" w:asciiTheme="minorEastAsia" w:hAnsiTheme="minorEastAsia" w:cstheme="minorEastAsia"/>
          <w:b/>
          <w:bCs w:val="0"/>
          <w:color w:val="auto"/>
          <w:sz w:val="24"/>
          <w:szCs w:val="24"/>
          <w:highlight w:val="none"/>
          <w:lang w:eastAsia="zh-CN"/>
        </w:rPr>
        <w:t>（</w:t>
      </w:r>
      <w:r>
        <w:rPr>
          <w:rFonts w:hint="eastAsia" w:asciiTheme="minorEastAsia" w:hAnsiTheme="minorEastAsia" w:cstheme="minorEastAsia"/>
          <w:b/>
          <w:bCs w:val="0"/>
          <w:color w:val="auto"/>
          <w:sz w:val="24"/>
          <w:szCs w:val="24"/>
          <w:highlight w:val="none"/>
          <w:lang w:val="en-US" w:eastAsia="zh-CN"/>
        </w:rPr>
        <w:t>2</w:t>
      </w:r>
      <w:r>
        <w:rPr>
          <w:rFonts w:hint="eastAsia" w:asciiTheme="minorEastAsia" w:hAnsiTheme="minorEastAsia" w:cstheme="minorEastAsia"/>
          <w:b/>
          <w:bCs w:val="0"/>
          <w:color w:val="auto"/>
          <w:sz w:val="24"/>
          <w:szCs w:val="24"/>
          <w:highlight w:val="none"/>
          <w:lang w:eastAsia="zh-CN"/>
        </w:rPr>
        <w:t>）</w:t>
      </w:r>
      <w:r>
        <w:rPr>
          <w:rFonts w:hint="eastAsia" w:ascii="宋体" w:hAnsi="宋体" w:eastAsia="宋体" w:cs="宋体"/>
          <w:b/>
          <w:bCs w:val="0"/>
          <w:color w:val="auto"/>
          <w:kern w:val="0"/>
          <w:sz w:val="24"/>
          <w:szCs w:val="24"/>
          <w:highlight w:val="none"/>
          <w:shd w:val="clear" w:fill="FFFFFF"/>
          <w:lang w:val="en-US" w:eastAsia="zh-CN" w:bidi="ar-SA"/>
        </w:rPr>
        <w:t>投标人须针对《招标项目一览表》中第四、“</w:t>
      </w:r>
      <w:r>
        <w:rPr>
          <w:rFonts w:hint="eastAsia" w:ascii="宋体" w:hAnsi="宋体" w:cs="宋体"/>
          <w:b/>
          <w:bCs/>
          <w:color w:val="auto"/>
          <w:sz w:val="24"/>
          <w:szCs w:val="24"/>
          <w:highlight w:val="none"/>
        </w:rPr>
        <w:t>监管场所支撑系统</w:t>
      </w:r>
      <w:r>
        <w:rPr>
          <w:rFonts w:hint="eastAsia" w:ascii="宋体" w:hAnsi="宋体" w:eastAsia="宋体" w:cs="宋体"/>
          <w:b/>
          <w:bCs w:val="0"/>
          <w:color w:val="auto"/>
          <w:kern w:val="0"/>
          <w:sz w:val="24"/>
          <w:szCs w:val="24"/>
          <w:highlight w:val="none"/>
          <w:shd w:val="clear" w:fill="FFFFFF"/>
          <w:lang w:val="en-US" w:eastAsia="zh-CN" w:bidi="ar-SA"/>
        </w:rPr>
        <w:t>”2.</w:t>
      </w:r>
      <w:r>
        <w:rPr>
          <w:rFonts w:hint="eastAsia" w:ascii="宋体" w:hAnsi="宋体" w:eastAsia="宋体" w:cs="宋体"/>
          <w:b/>
          <w:bCs/>
          <w:color w:val="auto"/>
          <w:sz w:val="24"/>
          <w:szCs w:val="24"/>
          <w:highlight w:val="none"/>
          <w:lang w:val="en-US" w:eastAsia="zh-CN"/>
        </w:rPr>
        <w:t>分拣查验系统、3.视频监控系统、4.卡口管理系统、5.海关功能房和围网、6.场站配套硬件及网络</w:t>
      </w:r>
      <w:r>
        <w:rPr>
          <w:rFonts w:hint="eastAsia" w:ascii="宋体" w:hAnsi="宋体" w:eastAsia="宋体" w:cs="宋体"/>
          <w:b/>
          <w:bCs w:val="0"/>
          <w:color w:val="auto"/>
          <w:kern w:val="0"/>
          <w:sz w:val="24"/>
          <w:szCs w:val="24"/>
          <w:highlight w:val="none"/>
          <w:shd w:val="clear" w:fill="FFFFFF"/>
          <w:lang w:val="en-US" w:eastAsia="zh-CN" w:bidi="ar-SA"/>
        </w:rPr>
        <w:t>”的所有产品进行单独分项报价且所报的价格不得超过规定的单价限价，未按上述要求报价的，按无效投标处理。</w:t>
      </w:r>
    </w:p>
    <w:p w14:paraId="3688CB2D">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二、技术和服务要求</w:t>
      </w:r>
    </w:p>
    <w:p w14:paraId="1CD7EC3B">
      <w:pPr>
        <w:pStyle w:val="4"/>
        <w:keepNext w:val="0"/>
        <w:keepLines w:val="0"/>
        <w:pageBreakBefore w:val="0"/>
        <w:widowControl w:val="0"/>
        <w:numPr>
          <w:ilvl w:val="2"/>
          <w:numId w:val="0"/>
        </w:numPr>
        <w:kinsoku/>
        <w:wordWrap/>
        <w:overflowPunct/>
        <w:topLinePunct w:val="0"/>
        <w:autoSpaceDE/>
        <w:autoSpaceDN/>
        <w:bidi w:val="0"/>
        <w:adjustRightInd/>
        <w:snapToGrid/>
        <w:spacing w:before="0" w:after="0" w:line="360" w:lineRule="auto"/>
        <w:ind w:leftChars="0"/>
        <w:textAlignment w:val="auto"/>
        <w:rPr>
          <w:rFonts w:hint="eastAsia" w:ascii="宋体" w:hAnsi="宋体" w:eastAsia="宋体" w:cs="宋体"/>
          <w:sz w:val="24"/>
          <w:szCs w:val="24"/>
        </w:rPr>
      </w:pPr>
      <w:bookmarkStart w:id="1" w:name="_Toc8095"/>
      <w:bookmarkStart w:id="2" w:name="_Toc12786"/>
      <w:bookmarkStart w:id="3" w:name="_Toc16530"/>
      <w:r>
        <w:rPr>
          <w:rFonts w:hint="eastAsia" w:ascii="宋体" w:hAnsi="宋体" w:eastAsia="宋体" w:cs="宋体"/>
          <w:sz w:val="24"/>
          <w:szCs w:val="24"/>
          <w:lang w:val="en-US" w:eastAsia="zh-CN"/>
        </w:rPr>
        <w:t>1.</w:t>
      </w:r>
      <w:r>
        <w:rPr>
          <w:rFonts w:hint="eastAsia" w:ascii="宋体" w:hAnsi="宋体" w:eastAsia="宋体" w:cs="宋体"/>
          <w:sz w:val="24"/>
          <w:szCs w:val="24"/>
        </w:rPr>
        <w:t>建设目标</w:t>
      </w:r>
      <w:bookmarkEnd w:id="1"/>
      <w:bookmarkEnd w:id="2"/>
      <w:bookmarkEnd w:id="3"/>
    </w:p>
    <w:p w14:paraId="00056F05">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bookmarkStart w:id="4" w:name="_Hlk17918090"/>
      <w:r>
        <w:rPr>
          <w:rFonts w:hint="eastAsia" w:ascii="宋体" w:hAnsi="宋体" w:eastAsia="宋体" w:cs="宋体"/>
          <w:sz w:val="24"/>
          <w:szCs w:val="24"/>
        </w:rPr>
        <w:t>总体目标：通过建设宁德综试区跨境电子商务线上、线下一体化综合服务平台，面向跨境贸易电子商务生态系统，实现电子商务企业、外贸综合服务企业、物流企业、金融机构等跨境电子商务主要经营主体对接省单一窗口，为企业提供智能报关服务，帮助企业在省单一窗口上快速办理出口通关手续，打造与国际接轨、具有宁德特色的跨境电子商务发展机制、监管模式和营商环境，实现更高水平的贸易数字化自由化便利化。</w:t>
      </w:r>
    </w:p>
    <w:p w14:paraId="73F68EED">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1.创新服务模式，优化跨境电商营商环境</w:t>
      </w:r>
    </w:p>
    <w:p w14:paraId="34F975AF">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发挥综试区先行先试作用，学习借鉴前六批跨境电子商务综合试验区成熟经验做法，着力在跨境电子商务的技术标准、业务流程、监管模式和信息化建设等方面探索创新，加强9610、9710、9810等海关监管模式建设，提供便捷的在线贸易服务，简化跨境电商交易流程，降低贸易成本，促进贸易便利化，提高货物通关效率，进一步优化跨境营商环境。</w:t>
      </w:r>
    </w:p>
    <w:p w14:paraId="22F09C9F">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2.助力外贸转型升级，推动跨境电商行业高质量发展</w:t>
      </w:r>
    </w:p>
    <w:p w14:paraId="7FF19509">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汇聚跨境电子商务信息和行业数据，促进跨境贸易的创新发展，发挥跨境电子商务助力传统产业转型升级、促进产业数字化发展的积极作用，培育新型产业贸易服务链，推动宁德市跨境电子商务行业高质量发展。</w:t>
      </w:r>
    </w:p>
    <w:p w14:paraId="60DA144F">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3.保障跨境电商综试区建设，赋能跨境电商生态系统构建</w:t>
      </w:r>
    </w:p>
    <w:p w14:paraId="07E2CF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设综试区线上线下一体化综合服务平台，有序推进综试区跨境生态服务体系的建设，面向跨境贸易电子商务生态系统，不断提升跨境电商综合服务系统的功能和应用，强化系统内的融合生态、价值共创与深度赋能，逐步构建配套政策齐全、支撑体系完善、业务模式多样、综合服务强劲、特色特点纷呈的跨境电商生态。</w:t>
      </w:r>
    </w:p>
    <w:bookmarkEnd w:id="4"/>
    <w:p w14:paraId="4E1B0FD3">
      <w:pPr>
        <w:pStyle w:val="4"/>
        <w:keepNext w:val="0"/>
        <w:keepLines w:val="0"/>
        <w:pageBreakBefore w:val="0"/>
        <w:widowControl w:val="0"/>
        <w:numPr>
          <w:ilvl w:val="2"/>
          <w:numId w:val="0"/>
        </w:numPr>
        <w:kinsoku/>
        <w:wordWrap/>
        <w:overflowPunct/>
        <w:topLinePunct w:val="0"/>
        <w:autoSpaceDE/>
        <w:autoSpaceDN/>
        <w:bidi w:val="0"/>
        <w:adjustRightInd/>
        <w:snapToGrid/>
        <w:spacing w:before="0" w:after="0" w:line="360" w:lineRule="auto"/>
        <w:ind w:leftChars="0"/>
        <w:textAlignment w:val="auto"/>
        <w:rPr>
          <w:rFonts w:hint="eastAsia" w:ascii="宋体" w:hAnsi="宋体" w:eastAsia="宋体" w:cs="宋体"/>
          <w:sz w:val="24"/>
          <w:szCs w:val="24"/>
        </w:rPr>
      </w:pPr>
      <w:bookmarkStart w:id="5" w:name="_Toc13761"/>
      <w:bookmarkStart w:id="6" w:name="_Toc13978"/>
      <w:bookmarkStart w:id="7" w:name="_Toc20195"/>
      <w:bookmarkStart w:id="8" w:name="_Hlk53854544"/>
      <w:r>
        <w:rPr>
          <w:rFonts w:hint="eastAsia" w:ascii="宋体" w:hAnsi="宋体" w:eastAsia="宋体" w:cs="宋体"/>
          <w:sz w:val="24"/>
          <w:szCs w:val="24"/>
          <w:lang w:val="en-US" w:eastAsia="zh-CN"/>
        </w:rPr>
        <w:t>2.</w:t>
      </w:r>
      <w:r>
        <w:rPr>
          <w:rFonts w:hint="eastAsia" w:ascii="宋体" w:hAnsi="宋体" w:eastAsia="宋体" w:cs="宋体"/>
          <w:sz w:val="24"/>
          <w:szCs w:val="24"/>
        </w:rPr>
        <w:t>建设内容</w:t>
      </w:r>
      <w:bookmarkEnd w:id="5"/>
      <w:bookmarkEnd w:id="6"/>
      <w:bookmarkEnd w:id="7"/>
    </w:p>
    <w:bookmarkEnd w:id="8"/>
    <w:p w14:paraId="7130EBCE">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bookmarkStart w:id="9" w:name="_Hlk17918109"/>
      <w:r>
        <w:rPr>
          <w:rFonts w:hint="eastAsia" w:ascii="宋体" w:hAnsi="宋体" w:eastAsia="宋体" w:cs="宋体"/>
          <w:sz w:val="24"/>
          <w:szCs w:val="24"/>
        </w:rPr>
        <w:t xml:space="preserve">根据系统建设目标的要求，项目是建设宁德综试区跨境电子商务综合服务平台，内容主要包括如下： </w:t>
      </w:r>
    </w:p>
    <w:p w14:paraId="2ED226D8">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2.1</w:t>
      </w:r>
      <w:r>
        <w:rPr>
          <w:rFonts w:hint="eastAsia" w:ascii="宋体" w:hAnsi="宋体" w:eastAsia="宋体" w:cs="宋体"/>
          <w:b/>
          <w:bCs/>
          <w:sz w:val="24"/>
          <w:szCs w:val="24"/>
        </w:rPr>
        <w:t>地方综试区门户</w:t>
      </w:r>
    </w:p>
    <w:p w14:paraId="3043250B">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提供综试区介绍、企业入驻、政务服务、综合服务、人才服务、公告咨询、招商服务、重点企业、业务法规等信息服务及相关后台管理功能</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与省单一窗口跨境电商综合服务平台对接</w:t>
      </w:r>
      <w:r>
        <w:rPr>
          <w:rFonts w:hint="eastAsia" w:ascii="宋体" w:hAnsi="宋体" w:eastAsia="宋体" w:cs="宋体"/>
          <w:sz w:val="24"/>
          <w:szCs w:val="24"/>
        </w:rPr>
        <w:t>。</w:t>
      </w:r>
    </w:p>
    <w:p w14:paraId="0C2695FA">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2.2</w:t>
      </w:r>
      <w:r>
        <w:rPr>
          <w:rFonts w:hint="eastAsia" w:ascii="宋体" w:hAnsi="宋体" w:eastAsia="宋体" w:cs="宋体"/>
          <w:b/>
          <w:bCs/>
          <w:sz w:val="24"/>
          <w:szCs w:val="24"/>
        </w:rPr>
        <w:t>业务支撑服务</w:t>
      </w:r>
    </w:p>
    <w:p w14:paraId="76083E2B">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业务支撑服务包括单证支撑服务和跨境业务支撑服务。</w:t>
      </w:r>
    </w:p>
    <w:p w14:paraId="593EF1D4">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2.2.1</w:t>
      </w:r>
      <w:r>
        <w:rPr>
          <w:rFonts w:hint="eastAsia" w:ascii="宋体" w:hAnsi="宋体" w:eastAsia="宋体" w:cs="宋体"/>
          <w:sz w:val="24"/>
          <w:szCs w:val="24"/>
        </w:rPr>
        <w:t>单证支撑服务</w:t>
      </w:r>
    </w:p>
    <w:p w14:paraId="54919D4F">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以服务的方式为地方跨境电商相关企业提供9610、9710、9810单证系统（电商、物流、支付等企业业务单据制作及申报）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提供</w:t>
      </w:r>
      <w:r>
        <w:rPr>
          <w:rFonts w:hint="eastAsia" w:ascii="宋体" w:hAnsi="宋体" w:eastAsia="宋体" w:cs="宋体"/>
          <w:sz w:val="24"/>
          <w:szCs w:val="24"/>
        </w:rPr>
        <w:t>业务接入受理与支撑</w:t>
      </w:r>
      <w:r>
        <w:rPr>
          <w:rFonts w:hint="eastAsia" w:ascii="宋体" w:hAnsi="宋体" w:eastAsia="宋体" w:cs="宋体"/>
          <w:sz w:val="24"/>
          <w:szCs w:val="24"/>
          <w:lang w:val="en-US" w:eastAsia="zh-CN"/>
        </w:rPr>
        <w:t>服务</w:t>
      </w:r>
      <w:r>
        <w:rPr>
          <w:rFonts w:hint="eastAsia" w:ascii="宋体" w:hAnsi="宋体" w:eastAsia="宋体" w:cs="宋体"/>
          <w:sz w:val="24"/>
          <w:szCs w:val="24"/>
        </w:rPr>
        <w:t>，</w:t>
      </w:r>
      <w:r>
        <w:rPr>
          <w:rFonts w:hint="eastAsia" w:ascii="宋体" w:hAnsi="宋体" w:eastAsia="宋体" w:cs="宋体"/>
          <w:sz w:val="24"/>
          <w:szCs w:val="24"/>
          <w:lang w:eastAsia="zh-CN"/>
        </w:rPr>
        <w:t>集成与</w:t>
      </w:r>
      <w:r>
        <w:rPr>
          <w:rFonts w:hint="eastAsia" w:ascii="宋体" w:hAnsi="宋体" w:eastAsia="宋体" w:cs="宋体"/>
          <w:sz w:val="24"/>
          <w:szCs w:val="24"/>
          <w:lang w:val="en-US" w:eastAsia="zh-CN"/>
        </w:rPr>
        <w:t>对接省单一窗口申报通道</w:t>
      </w:r>
      <w:r>
        <w:rPr>
          <w:rFonts w:hint="eastAsia" w:ascii="宋体" w:hAnsi="宋体" w:eastAsia="宋体" w:cs="宋体"/>
          <w:sz w:val="24"/>
          <w:szCs w:val="24"/>
          <w:lang w:eastAsia="zh-CN"/>
        </w:rPr>
        <w:t>，</w:t>
      </w:r>
      <w:r>
        <w:rPr>
          <w:rFonts w:hint="eastAsia" w:ascii="宋体" w:hAnsi="宋体" w:eastAsia="宋体" w:cs="宋体"/>
          <w:sz w:val="24"/>
          <w:szCs w:val="24"/>
        </w:rPr>
        <w:t>确保地方企业可正常</w:t>
      </w:r>
      <w:r>
        <w:rPr>
          <w:rFonts w:hint="eastAsia" w:ascii="宋体" w:hAnsi="宋体" w:eastAsia="宋体" w:cs="宋体"/>
          <w:sz w:val="24"/>
          <w:szCs w:val="24"/>
          <w:lang w:val="en-US" w:eastAsia="zh-CN"/>
        </w:rPr>
        <w:t>制作申报单证、自动化报文生成与申报，</w:t>
      </w:r>
      <w:r>
        <w:rPr>
          <w:rFonts w:hint="eastAsia" w:ascii="宋体" w:hAnsi="宋体" w:eastAsia="宋体" w:cs="宋体"/>
          <w:sz w:val="24"/>
          <w:szCs w:val="24"/>
        </w:rPr>
        <w:t>并</w:t>
      </w:r>
      <w:r>
        <w:rPr>
          <w:rFonts w:hint="eastAsia" w:ascii="宋体" w:hAnsi="宋体" w:eastAsia="宋体" w:cs="宋体"/>
          <w:sz w:val="24"/>
          <w:szCs w:val="24"/>
          <w:lang w:val="en-US" w:eastAsia="zh-CN"/>
        </w:rPr>
        <w:t>接入省单一窗口跨境综合服务平台，通过</w:t>
      </w:r>
      <w:r>
        <w:rPr>
          <w:rFonts w:hint="eastAsia" w:ascii="宋体" w:hAnsi="宋体" w:eastAsia="宋体" w:cs="宋体"/>
          <w:sz w:val="24"/>
          <w:szCs w:val="24"/>
        </w:rPr>
        <w:t>省平台</w:t>
      </w:r>
      <w:r>
        <w:rPr>
          <w:rFonts w:hint="eastAsia" w:ascii="宋体" w:hAnsi="宋体" w:eastAsia="宋体" w:cs="宋体"/>
          <w:sz w:val="24"/>
          <w:szCs w:val="24"/>
          <w:lang w:val="en-US" w:eastAsia="zh-CN"/>
        </w:rPr>
        <w:t>由海关总对总通道</w:t>
      </w:r>
      <w:r>
        <w:rPr>
          <w:rFonts w:hint="eastAsia" w:ascii="宋体" w:hAnsi="宋体" w:eastAsia="宋体" w:cs="宋体"/>
          <w:sz w:val="24"/>
          <w:szCs w:val="24"/>
        </w:rPr>
        <w:t>进行9610、9710、9810进\出口的全模式业务申报。</w:t>
      </w:r>
    </w:p>
    <w:p w14:paraId="0C0924F8">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2.2.2</w:t>
      </w:r>
      <w:r>
        <w:rPr>
          <w:rFonts w:hint="eastAsia" w:ascii="宋体" w:hAnsi="宋体" w:eastAsia="宋体" w:cs="宋体"/>
          <w:sz w:val="24"/>
          <w:szCs w:val="24"/>
        </w:rPr>
        <w:t>跨境电子商务综合服务系统</w:t>
      </w:r>
    </w:p>
    <w:p w14:paraId="4D4C41A1">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以服务的方式为地方跨境电商相关企业提供提供</w:t>
      </w:r>
      <w:r>
        <w:rPr>
          <w:rFonts w:hint="eastAsia" w:ascii="宋体" w:hAnsi="宋体" w:eastAsia="宋体" w:cs="宋体"/>
          <w:sz w:val="24"/>
          <w:szCs w:val="24"/>
          <w:lang w:val="en-US" w:eastAsia="zh-CN"/>
        </w:rPr>
        <w:t>跨境电商</w:t>
      </w:r>
      <w:r>
        <w:rPr>
          <w:rFonts w:hint="eastAsia" w:ascii="宋体" w:hAnsi="宋体" w:eastAsia="宋体" w:cs="宋体"/>
          <w:sz w:val="24"/>
          <w:szCs w:val="24"/>
        </w:rPr>
        <w:t>业务咨询、落地指导、技术服务、客服热线支撑</w:t>
      </w:r>
      <w:r>
        <w:rPr>
          <w:rFonts w:hint="eastAsia" w:ascii="宋体" w:hAnsi="宋体" w:eastAsia="宋体" w:cs="宋体"/>
          <w:sz w:val="24"/>
          <w:szCs w:val="24"/>
          <w:lang w:val="en-US" w:eastAsia="zh-CN"/>
        </w:rPr>
        <w:t>等服务</w:t>
      </w:r>
      <w:r>
        <w:rPr>
          <w:rFonts w:hint="eastAsia" w:ascii="宋体" w:hAnsi="宋体" w:eastAsia="宋体" w:cs="宋体"/>
          <w:sz w:val="24"/>
          <w:szCs w:val="24"/>
        </w:rPr>
        <w:t>。</w:t>
      </w:r>
    </w:p>
    <w:p w14:paraId="5D141AAF">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2.3</w:t>
      </w:r>
      <w:r>
        <w:rPr>
          <w:rFonts w:hint="eastAsia" w:ascii="宋体" w:hAnsi="宋体" w:eastAsia="宋体" w:cs="宋体"/>
          <w:b/>
          <w:bCs/>
          <w:sz w:val="24"/>
          <w:szCs w:val="24"/>
        </w:rPr>
        <w:t>统计与展示系统</w:t>
      </w:r>
    </w:p>
    <w:p w14:paraId="60F71C5E">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统计分析宁德跨境电商业务情况，为掌握宁德跨境电商开展情况及政策制定提供数据支撑，</w:t>
      </w:r>
      <w:r>
        <w:rPr>
          <w:rFonts w:hint="eastAsia" w:ascii="宋体" w:hAnsi="宋体" w:eastAsia="宋体" w:cs="宋体"/>
          <w:sz w:val="24"/>
          <w:szCs w:val="24"/>
        </w:rPr>
        <w:t>主要包含跨境商品排名、宁德监管场所统计、宁德跨境企业统计、宁德全市统计、宁德企业报关单统计、国别(地区)统计、国别(地区)排行</w:t>
      </w:r>
      <w:r>
        <w:rPr>
          <w:rFonts w:hint="eastAsia" w:ascii="宋体" w:hAnsi="宋体" w:eastAsia="宋体" w:cs="宋体"/>
          <w:sz w:val="24"/>
          <w:szCs w:val="24"/>
          <w:lang w:val="en-US" w:eastAsia="zh-CN"/>
        </w:rPr>
        <w:t>等多种统计分析功能，及</w:t>
      </w:r>
      <w:r>
        <w:rPr>
          <w:rFonts w:hint="eastAsia" w:ascii="宋体" w:hAnsi="宋体" w:eastAsia="宋体" w:cs="宋体"/>
          <w:sz w:val="24"/>
          <w:szCs w:val="24"/>
        </w:rPr>
        <w:t>大屏</w:t>
      </w:r>
      <w:r>
        <w:rPr>
          <w:rFonts w:hint="eastAsia" w:ascii="宋体" w:hAnsi="宋体" w:eastAsia="宋体" w:cs="宋体"/>
          <w:sz w:val="24"/>
          <w:szCs w:val="24"/>
          <w:lang w:val="en-US" w:eastAsia="zh-CN"/>
        </w:rPr>
        <w:t>综合</w:t>
      </w:r>
      <w:r>
        <w:rPr>
          <w:rFonts w:hint="eastAsia" w:ascii="宋体" w:hAnsi="宋体" w:eastAsia="宋体" w:cs="宋体"/>
          <w:sz w:val="24"/>
          <w:szCs w:val="24"/>
        </w:rPr>
        <w:t>展示。</w:t>
      </w:r>
    </w:p>
    <w:p w14:paraId="3E1DD2ED">
      <w:pPr>
        <w:pStyle w:val="29"/>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2.4</w:t>
      </w:r>
      <w:r>
        <w:rPr>
          <w:rFonts w:hint="eastAsia" w:ascii="宋体" w:hAnsi="宋体" w:eastAsia="宋体" w:cs="宋体"/>
          <w:b/>
          <w:bCs/>
          <w:sz w:val="24"/>
          <w:szCs w:val="24"/>
        </w:rPr>
        <w:t>监管场所支撑系统</w:t>
      </w:r>
    </w:p>
    <w:p w14:paraId="2A6442B8">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本项目监管场所支撑系统拟建设场站管理系统、光机分拣查验系统、视频监控系统、</w:t>
      </w:r>
      <w:r>
        <w:rPr>
          <w:rFonts w:hint="eastAsia" w:ascii="宋体" w:hAnsi="宋体" w:eastAsia="宋体" w:cs="宋体"/>
          <w:sz w:val="24"/>
          <w:szCs w:val="24"/>
          <w:lang w:val="en-US" w:eastAsia="zh-CN"/>
        </w:rPr>
        <w:t>物流辅助</w:t>
      </w:r>
      <w:r>
        <w:rPr>
          <w:rFonts w:hint="eastAsia" w:ascii="宋体" w:hAnsi="宋体" w:eastAsia="宋体" w:cs="宋体"/>
          <w:sz w:val="24"/>
          <w:szCs w:val="24"/>
        </w:rPr>
        <w:t>监管系统及卡口管理系统，并建设海关功能房和围网，对外墙面及办公室装修，具体如下：</w:t>
      </w:r>
    </w:p>
    <w:p w14:paraId="4B7EFC68">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2.4.1</w:t>
      </w:r>
      <w:r>
        <w:rPr>
          <w:rFonts w:hint="eastAsia" w:ascii="宋体" w:hAnsi="宋体" w:eastAsia="宋体" w:cs="宋体"/>
          <w:sz w:val="24"/>
          <w:szCs w:val="24"/>
        </w:rPr>
        <w:t>场站管理系统</w:t>
      </w:r>
    </w:p>
    <w:p w14:paraId="3FFDD527">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场站管理系统服务的用户主要是监管场所运营人、物流企业，系统提供入区申请、入区审核、主单管理、运抵管理、分拣管理，对仓库的货物进行管理。</w:t>
      </w:r>
    </w:p>
    <w:p w14:paraId="56A19737">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2.4.2</w:t>
      </w:r>
      <w:r>
        <w:rPr>
          <w:rFonts w:hint="eastAsia" w:ascii="宋体" w:hAnsi="宋体" w:eastAsia="宋体" w:cs="宋体"/>
          <w:sz w:val="24"/>
          <w:szCs w:val="24"/>
        </w:rPr>
        <w:t>分拣查验系统</w:t>
      </w:r>
    </w:p>
    <w:p w14:paraId="5FB79332">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分拣查验系统的用户主要是海关，可对包裹快速分拣、精准查验、提高效率、降低成本。</w:t>
      </w:r>
    </w:p>
    <w:p w14:paraId="0382B513">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2.4.3</w:t>
      </w:r>
      <w:r>
        <w:rPr>
          <w:rFonts w:hint="eastAsia" w:ascii="宋体" w:hAnsi="宋体" w:eastAsia="宋体" w:cs="宋体"/>
          <w:sz w:val="24"/>
          <w:szCs w:val="24"/>
        </w:rPr>
        <w:t>视频监控系统</w:t>
      </w:r>
    </w:p>
    <w:p w14:paraId="0BDBC78F">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视频监控系统用户主要是海关，提高监管效率、规范业务流程、增强纪律约束等方面。通过视频监控系统的使用，海关可以更好地履行其职责，保障国家安全和经济发展。</w:t>
      </w:r>
    </w:p>
    <w:p w14:paraId="0E1AB9F7">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2.4.</w:t>
      </w:r>
      <w:r>
        <w:rPr>
          <w:rFonts w:hint="eastAsia" w:eastAsia="宋体" w:cs="宋体"/>
          <w:sz w:val="24"/>
          <w:szCs w:val="24"/>
          <w:lang w:val="en-US" w:eastAsia="zh-CN"/>
        </w:rPr>
        <w:t>4</w:t>
      </w:r>
      <w:r>
        <w:rPr>
          <w:rFonts w:hint="eastAsia" w:ascii="宋体" w:hAnsi="宋体" w:eastAsia="宋体" w:cs="宋体"/>
          <w:sz w:val="24"/>
          <w:szCs w:val="24"/>
        </w:rPr>
        <w:t>卡口管理系统</w:t>
      </w:r>
    </w:p>
    <w:p w14:paraId="1B9BBCFA">
      <w:pPr>
        <w:pStyle w:val="34"/>
        <w:keepNext w:val="0"/>
        <w:keepLines w:val="0"/>
        <w:pageBreakBefore w:val="0"/>
        <w:widowControl w:val="0"/>
        <w:kinsoku/>
        <w:wordWrap/>
        <w:overflowPunct/>
        <w:topLinePunct w:val="0"/>
        <w:autoSpaceDE/>
        <w:autoSpaceDN/>
        <w:bidi w:val="0"/>
        <w:adjustRightInd/>
        <w:snapToGrid/>
        <w:spacing w:beforeLines="0" w:afterLines="0" w:line="360" w:lineRule="auto"/>
        <w:textAlignment w:val="auto"/>
        <w:rPr>
          <w:rFonts w:hint="eastAsia" w:ascii="宋体" w:hAnsi="宋体" w:eastAsia="宋体" w:cs="宋体"/>
          <w:sz w:val="24"/>
          <w:szCs w:val="24"/>
        </w:rPr>
      </w:pPr>
      <w:r>
        <w:rPr>
          <w:rFonts w:hint="eastAsia" w:ascii="宋体" w:hAnsi="宋体" w:eastAsia="宋体" w:cs="宋体"/>
          <w:sz w:val="24"/>
          <w:szCs w:val="24"/>
        </w:rPr>
        <w:t>根据海关对监管场所设立的要求，需要记录进出监管场所的所有车辆，并与海关的物流管理系统对接，以备海关随时查核。</w:t>
      </w:r>
    </w:p>
    <w:bookmarkEnd w:id="9"/>
    <w:p w14:paraId="685025F7">
      <w:pPr>
        <w:pStyle w:val="4"/>
        <w:keepNext w:val="0"/>
        <w:keepLines w:val="0"/>
        <w:pageBreakBefore w:val="0"/>
        <w:widowControl w:val="0"/>
        <w:numPr>
          <w:ilvl w:val="2"/>
          <w:numId w:val="0"/>
        </w:numPr>
        <w:kinsoku/>
        <w:wordWrap/>
        <w:overflowPunct/>
        <w:topLinePunct w:val="0"/>
        <w:autoSpaceDE/>
        <w:autoSpaceDN/>
        <w:bidi w:val="0"/>
        <w:adjustRightInd/>
        <w:snapToGrid/>
        <w:spacing w:before="0" w:after="0" w:line="360" w:lineRule="auto"/>
        <w:ind w:leftChars="0"/>
        <w:textAlignment w:val="auto"/>
        <w:rPr>
          <w:rFonts w:hint="eastAsia" w:ascii="宋体" w:hAnsi="宋体" w:eastAsia="宋体" w:cs="宋体"/>
          <w:sz w:val="24"/>
          <w:szCs w:val="24"/>
        </w:rPr>
      </w:pPr>
      <w:bookmarkStart w:id="10" w:name="_Toc6382"/>
      <w:bookmarkStart w:id="11" w:name="_Toc8415"/>
      <w:bookmarkStart w:id="12" w:name="_Toc17209"/>
      <w:r>
        <w:rPr>
          <w:rFonts w:hint="eastAsia" w:ascii="宋体" w:hAnsi="宋体" w:eastAsia="宋体" w:cs="宋体"/>
          <w:sz w:val="24"/>
          <w:szCs w:val="24"/>
          <w:lang w:val="en-US" w:eastAsia="zh-CN"/>
        </w:rPr>
        <w:t>3.</w:t>
      </w:r>
      <w:r>
        <w:rPr>
          <w:rFonts w:hint="eastAsia" w:ascii="宋体" w:hAnsi="宋体" w:eastAsia="宋体" w:cs="宋体"/>
          <w:sz w:val="24"/>
          <w:szCs w:val="24"/>
        </w:rPr>
        <w:t>建设期限</w:t>
      </w:r>
      <w:bookmarkEnd w:id="10"/>
      <w:bookmarkEnd w:id="11"/>
      <w:bookmarkEnd w:id="12"/>
    </w:p>
    <w:p w14:paraId="7591156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宋体" w:hAnsi="宋体" w:eastAsia="宋体" w:cs="宋体"/>
          <w:color w:val="0000FF"/>
          <w:sz w:val="24"/>
          <w:szCs w:val="24"/>
          <w:highlight w:val="green"/>
        </w:rPr>
      </w:pPr>
      <w:r>
        <w:rPr>
          <w:rFonts w:hint="eastAsia" w:ascii="宋体" w:hAnsi="宋体" w:eastAsia="宋体" w:cs="宋体"/>
          <w:color w:val="auto"/>
          <w:sz w:val="24"/>
          <w:szCs w:val="24"/>
          <w:highlight w:val="none"/>
        </w:rPr>
        <w:t>本项目建设工期为</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个月,以合同签订之日为项目建设起始时间点。</w:t>
      </w:r>
    </w:p>
    <w:p w14:paraId="76D1D3F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4.具体平台建设要求</w:t>
      </w:r>
    </w:p>
    <w:p w14:paraId="31FD7EE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4.1地方综试区门户</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1824"/>
        <w:gridCol w:w="7325"/>
      </w:tblGrid>
      <w:tr w14:paraId="525B95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vMerge w:val="restart"/>
            <w:tcBorders>
              <w:tl2br w:val="nil"/>
              <w:tr2bl w:val="nil"/>
            </w:tcBorders>
            <w:shd w:val="clear" w:color="000000" w:fill="FFFFFF" w:themeFill="background1"/>
            <w:vAlign w:val="center"/>
          </w:tcPr>
          <w:p w14:paraId="2442AC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序号</w:t>
            </w:r>
          </w:p>
        </w:tc>
        <w:tc>
          <w:tcPr>
            <w:tcW w:w="928" w:type="pct"/>
            <w:vMerge w:val="restart"/>
            <w:tcBorders>
              <w:tl2br w:val="nil"/>
              <w:tr2bl w:val="nil"/>
            </w:tcBorders>
            <w:shd w:val="clear" w:color="000000" w:fill="FFFFFF" w:themeFill="background1"/>
            <w:vAlign w:val="center"/>
          </w:tcPr>
          <w:p w14:paraId="4C759D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一级功能</w:t>
            </w:r>
          </w:p>
        </w:tc>
        <w:tc>
          <w:tcPr>
            <w:tcW w:w="3727" w:type="pct"/>
            <w:vMerge w:val="restart"/>
            <w:tcBorders>
              <w:tl2br w:val="nil"/>
              <w:tr2bl w:val="nil"/>
            </w:tcBorders>
            <w:shd w:val="clear" w:color="000000" w:fill="FFFFFF" w:themeFill="background1"/>
            <w:vAlign w:val="center"/>
          </w:tcPr>
          <w:p w14:paraId="7B1E5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二级功能</w:t>
            </w:r>
          </w:p>
        </w:tc>
      </w:tr>
      <w:tr w14:paraId="22151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344" w:type="pct"/>
            <w:vMerge w:val="continue"/>
            <w:tcBorders>
              <w:tl2br w:val="nil"/>
              <w:tr2bl w:val="nil"/>
            </w:tcBorders>
            <w:shd w:val="clear" w:color="000000" w:fill="FFFFFF" w:themeFill="background1"/>
            <w:vAlign w:val="center"/>
          </w:tcPr>
          <w:p w14:paraId="4A5822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p>
        </w:tc>
        <w:tc>
          <w:tcPr>
            <w:tcW w:w="928" w:type="pct"/>
            <w:vMerge w:val="continue"/>
            <w:tcBorders>
              <w:tl2br w:val="nil"/>
              <w:tr2bl w:val="nil"/>
            </w:tcBorders>
            <w:shd w:val="clear" w:color="000000" w:fill="FFFFFF" w:themeFill="background1"/>
            <w:vAlign w:val="center"/>
          </w:tcPr>
          <w:p w14:paraId="0E4B94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p>
        </w:tc>
        <w:tc>
          <w:tcPr>
            <w:tcW w:w="3727" w:type="pct"/>
            <w:vMerge w:val="continue"/>
            <w:tcBorders>
              <w:tl2br w:val="nil"/>
              <w:tr2bl w:val="nil"/>
            </w:tcBorders>
            <w:shd w:val="clear" w:color="000000" w:fill="FFFFFF" w:themeFill="background1"/>
            <w:vAlign w:val="center"/>
          </w:tcPr>
          <w:p w14:paraId="06D951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color w:val="000000"/>
                <w:kern w:val="0"/>
                <w:sz w:val="24"/>
                <w:szCs w:val="24"/>
              </w:rPr>
            </w:pPr>
          </w:p>
        </w:tc>
      </w:tr>
      <w:tr w14:paraId="017D0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7BF43C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w:t>
            </w:r>
          </w:p>
        </w:tc>
        <w:tc>
          <w:tcPr>
            <w:tcW w:w="928" w:type="pct"/>
            <w:tcBorders>
              <w:tl2br w:val="nil"/>
              <w:tr2bl w:val="nil"/>
            </w:tcBorders>
            <w:shd w:val="clear" w:color="auto" w:fill="auto"/>
            <w:vAlign w:val="center"/>
          </w:tcPr>
          <w:p w14:paraId="462D19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门户首页</w:t>
            </w:r>
          </w:p>
        </w:tc>
        <w:tc>
          <w:tcPr>
            <w:tcW w:w="3727" w:type="pct"/>
            <w:tcBorders>
              <w:tl2br w:val="nil"/>
              <w:tr2bl w:val="nil"/>
            </w:tcBorders>
            <w:shd w:val="clear" w:color="auto" w:fill="auto"/>
            <w:vAlign w:val="center"/>
          </w:tcPr>
          <w:p w14:paraId="5EBC92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服务模块</w:t>
            </w:r>
            <w:r>
              <w:rPr>
                <w:rFonts w:hint="eastAsia" w:ascii="宋体" w:hAnsi="宋体" w:eastAsia="宋体" w:cs="宋体"/>
                <w:sz w:val="24"/>
                <w:szCs w:val="24"/>
                <w:lang w:eastAsia="zh-CN"/>
              </w:rPr>
              <w:t>、</w:t>
            </w:r>
            <w:r>
              <w:rPr>
                <w:rFonts w:hint="eastAsia" w:ascii="宋体" w:hAnsi="宋体" w:eastAsia="宋体" w:cs="宋体"/>
                <w:sz w:val="24"/>
                <w:szCs w:val="24"/>
              </w:rPr>
              <w:t>园区展示</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共建单位、常见问题等。</w:t>
            </w:r>
          </w:p>
        </w:tc>
      </w:tr>
      <w:tr w14:paraId="35470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4" w:type="pct"/>
            <w:tcBorders>
              <w:tl2br w:val="nil"/>
              <w:tr2bl w:val="nil"/>
            </w:tcBorders>
            <w:shd w:val="clear" w:color="auto" w:fill="auto"/>
            <w:vAlign w:val="center"/>
          </w:tcPr>
          <w:p w14:paraId="196157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2</w:t>
            </w:r>
          </w:p>
        </w:tc>
        <w:tc>
          <w:tcPr>
            <w:tcW w:w="928" w:type="pct"/>
            <w:tcBorders>
              <w:tl2br w:val="nil"/>
              <w:tr2bl w:val="nil"/>
            </w:tcBorders>
            <w:shd w:val="clear" w:color="auto" w:fill="auto"/>
            <w:vAlign w:val="center"/>
          </w:tcPr>
          <w:p w14:paraId="061F40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综试区介绍</w:t>
            </w:r>
          </w:p>
        </w:tc>
        <w:tc>
          <w:tcPr>
            <w:tcW w:w="3727" w:type="pct"/>
            <w:tcBorders>
              <w:tl2br w:val="nil"/>
              <w:tr2bl w:val="nil"/>
            </w:tcBorders>
            <w:shd w:val="clear" w:color="auto" w:fill="auto"/>
            <w:vAlign w:val="center"/>
          </w:tcPr>
          <w:p w14:paraId="7FC950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lang w:val="en-US" w:eastAsia="zh-CN"/>
              </w:rPr>
            </w:pPr>
            <w:r>
              <w:rPr>
                <w:rFonts w:hint="eastAsia" w:ascii="宋体" w:hAnsi="宋体" w:eastAsia="宋体" w:cs="宋体"/>
                <w:sz w:val="24"/>
                <w:szCs w:val="24"/>
              </w:rPr>
              <w:t>综试区发展历程、发展规划</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联系方式等。</w:t>
            </w:r>
          </w:p>
        </w:tc>
      </w:tr>
      <w:tr w14:paraId="290C3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6FAC9C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3</w:t>
            </w:r>
          </w:p>
        </w:tc>
        <w:tc>
          <w:tcPr>
            <w:tcW w:w="928" w:type="pct"/>
            <w:tcBorders>
              <w:tl2br w:val="nil"/>
              <w:tr2bl w:val="nil"/>
            </w:tcBorders>
            <w:shd w:val="clear" w:color="auto" w:fill="auto"/>
            <w:vAlign w:val="center"/>
          </w:tcPr>
          <w:p w14:paraId="2BE8E5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企业入驻</w:t>
            </w:r>
          </w:p>
        </w:tc>
        <w:tc>
          <w:tcPr>
            <w:tcW w:w="3727" w:type="pct"/>
            <w:tcBorders>
              <w:tl2br w:val="nil"/>
              <w:tr2bl w:val="nil"/>
            </w:tcBorders>
            <w:shd w:val="clear" w:color="auto" w:fill="auto"/>
            <w:vAlign w:val="center"/>
          </w:tcPr>
          <w:p w14:paraId="0B6A4E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lang w:eastAsia="zh-CN"/>
              </w:rPr>
            </w:pPr>
            <w:r>
              <w:rPr>
                <w:rFonts w:hint="eastAsia" w:ascii="宋体" w:hAnsi="宋体" w:eastAsia="宋体" w:cs="宋体"/>
                <w:sz w:val="24"/>
                <w:szCs w:val="24"/>
              </w:rPr>
              <w:t>提供在线申请材料填写、数据传输客户端下载、客户端授权申请等</w:t>
            </w:r>
            <w:r>
              <w:rPr>
                <w:rFonts w:hint="eastAsia" w:ascii="宋体" w:hAnsi="宋体" w:eastAsia="宋体" w:cs="宋体"/>
                <w:sz w:val="24"/>
                <w:szCs w:val="24"/>
                <w:lang w:eastAsia="zh-CN"/>
              </w:rPr>
              <w:t>。</w:t>
            </w:r>
          </w:p>
        </w:tc>
      </w:tr>
      <w:tr w14:paraId="4C75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569256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4</w:t>
            </w:r>
          </w:p>
        </w:tc>
        <w:tc>
          <w:tcPr>
            <w:tcW w:w="928" w:type="pct"/>
            <w:tcBorders>
              <w:tl2br w:val="nil"/>
              <w:tr2bl w:val="nil"/>
            </w:tcBorders>
            <w:shd w:val="clear" w:color="auto" w:fill="auto"/>
            <w:vAlign w:val="center"/>
          </w:tcPr>
          <w:p w14:paraId="37C323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政务服务</w:t>
            </w:r>
          </w:p>
        </w:tc>
        <w:tc>
          <w:tcPr>
            <w:tcW w:w="3727" w:type="pct"/>
            <w:tcBorders>
              <w:tl2br w:val="nil"/>
              <w:tr2bl w:val="nil"/>
            </w:tcBorders>
            <w:shd w:val="clear" w:color="auto" w:fill="auto"/>
            <w:vAlign w:val="center"/>
          </w:tcPr>
          <w:p w14:paraId="0DBB9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展示海关、外汇管理局、市场监督局</w:t>
            </w:r>
            <w:r>
              <w:rPr>
                <w:rFonts w:hint="eastAsia" w:ascii="宋体" w:hAnsi="宋体" w:eastAsia="宋体" w:cs="宋体"/>
                <w:sz w:val="24"/>
                <w:szCs w:val="24"/>
                <w:lang w:eastAsia="zh-CN"/>
              </w:rPr>
              <w:t>、</w:t>
            </w:r>
            <w:r>
              <w:rPr>
                <w:rFonts w:hint="eastAsia" w:ascii="宋体" w:hAnsi="宋体" w:eastAsia="宋体" w:cs="宋体"/>
                <w:sz w:val="24"/>
                <w:szCs w:val="24"/>
              </w:rPr>
              <w:t>税务局</w:t>
            </w:r>
            <w:r>
              <w:rPr>
                <w:rFonts w:hint="eastAsia" w:ascii="宋体" w:hAnsi="宋体" w:eastAsia="宋体" w:cs="宋体"/>
                <w:sz w:val="24"/>
                <w:szCs w:val="24"/>
                <w:lang w:eastAsia="zh-CN"/>
              </w:rPr>
              <w:t>、</w:t>
            </w:r>
            <w:r>
              <w:rPr>
                <w:rFonts w:hint="eastAsia" w:ascii="宋体" w:hAnsi="宋体" w:eastAsia="宋体" w:cs="宋体"/>
                <w:sz w:val="24"/>
                <w:szCs w:val="24"/>
              </w:rPr>
              <w:t>商务局的</w:t>
            </w:r>
            <w:r>
              <w:rPr>
                <w:rFonts w:hint="eastAsia" w:ascii="宋体" w:hAnsi="宋体" w:eastAsia="宋体" w:cs="宋体"/>
                <w:sz w:val="24"/>
                <w:szCs w:val="24"/>
                <w:lang w:val="en-US" w:eastAsia="zh-CN"/>
              </w:rPr>
              <w:t>办事指南和链接。</w:t>
            </w:r>
          </w:p>
        </w:tc>
      </w:tr>
      <w:tr w14:paraId="05AFC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20191E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5</w:t>
            </w:r>
          </w:p>
        </w:tc>
        <w:tc>
          <w:tcPr>
            <w:tcW w:w="928" w:type="pct"/>
            <w:tcBorders>
              <w:tl2br w:val="nil"/>
              <w:tr2bl w:val="nil"/>
            </w:tcBorders>
            <w:shd w:val="clear" w:color="auto" w:fill="auto"/>
            <w:vAlign w:val="center"/>
          </w:tcPr>
          <w:p w14:paraId="7A2F65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综合服务</w:t>
            </w:r>
          </w:p>
        </w:tc>
        <w:tc>
          <w:tcPr>
            <w:tcW w:w="3727" w:type="pct"/>
            <w:tcBorders>
              <w:tl2br w:val="nil"/>
              <w:tr2bl w:val="nil"/>
            </w:tcBorders>
            <w:shd w:val="clear" w:color="auto" w:fill="auto"/>
            <w:vAlign w:val="center"/>
          </w:tcPr>
          <w:p w14:paraId="7116A4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对接开展跨境电商业务第三方提供的综合服务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例如</w:t>
            </w:r>
            <w:r>
              <w:rPr>
                <w:rFonts w:hint="eastAsia" w:ascii="宋体" w:hAnsi="宋体" w:eastAsia="宋体" w:cs="宋体"/>
                <w:sz w:val="24"/>
                <w:szCs w:val="24"/>
              </w:rPr>
              <w:t>展示金融服务</w:t>
            </w:r>
            <w:r>
              <w:rPr>
                <w:rFonts w:hint="eastAsia" w:ascii="宋体" w:hAnsi="宋体" w:eastAsia="宋体" w:cs="宋体"/>
                <w:sz w:val="24"/>
                <w:szCs w:val="24"/>
                <w:lang w:eastAsia="zh-CN"/>
              </w:rPr>
              <w:t>、</w:t>
            </w:r>
            <w:r>
              <w:rPr>
                <w:rFonts w:hint="eastAsia" w:ascii="宋体" w:hAnsi="宋体" w:eastAsia="宋体" w:cs="宋体"/>
                <w:sz w:val="24"/>
                <w:szCs w:val="24"/>
              </w:rPr>
              <w:t>监管场所服务</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支付服务、物流服务等</w:t>
            </w:r>
            <w:r>
              <w:rPr>
                <w:rFonts w:hint="eastAsia" w:ascii="宋体" w:hAnsi="宋体" w:eastAsia="宋体" w:cs="宋体"/>
                <w:sz w:val="24"/>
                <w:szCs w:val="24"/>
              </w:rPr>
              <w:t>。</w:t>
            </w:r>
          </w:p>
        </w:tc>
      </w:tr>
      <w:tr w14:paraId="2D2E4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1035EC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6</w:t>
            </w:r>
          </w:p>
        </w:tc>
        <w:tc>
          <w:tcPr>
            <w:tcW w:w="928" w:type="pct"/>
            <w:tcBorders>
              <w:tl2br w:val="nil"/>
              <w:tr2bl w:val="nil"/>
            </w:tcBorders>
            <w:shd w:val="clear" w:color="auto" w:fill="auto"/>
            <w:vAlign w:val="center"/>
          </w:tcPr>
          <w:p w14:paraId="297256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人才服务</w:t>
            </w:r>
          </w:p>
        </w:tc>
        <w:tc>
          <w:tcPr>
            <w:tcW w:w="3727" w:type="pct"/>
            <w:tcBorders>
              <w:tl2br w:val="nil"/>
              <w:tr2bl w:val="nil"/>
            </w:tcBorders>
            <w:shd w:val="clear" w:color="auto" w:fill="auto"/>
            <w:vAlign w:val="center"/>
          </w:tcPr>
          <w:p w14:paraId="01D439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lang w:eastAsia="zh-CN"/>
              </w:rPr>
            </w:pPr>
            <w:r>
              <w:rPr>
                <w:rFonts w:hint="eastAsia" w:ascii="宋体" w:hAnsi="宋体" w:eastAsia="宋体" w:cs="宋体"/>
                <w:sz w:val="24"/>
                <w:szCs w:val="24"/>
              </w:rPr>
              <w:t>培训课程（合作机构链接）、培训机构</w:t>
            </w:r>
            <w:r>
              <w:rPr>
                <w:rFonts w:hint="eastAsia" w:ascii="宋体" w:hAnsi="宋体" w:eastAsia="宋体" w:cs="宋体"/>
                <w:sz w:val="24"/>
                <w:szCs w:val="24"/>
                <w:lang w:val="en-US" w:eastAsia="zh-CN"/>
              </w:rPr>
              <w:t>等</w:t>
            </w:r>
            <w:r>
              <w:rPr>
                <w:rFonts w:hint="eastAsia" w:ascii="宋体" w:hAnsi="宋体" w:eastAsia="宋体" w:cs="宋体"/>
                <w:sz w:val="24"/>
                <w:szCs w:val="24"/>
                <w:lang w:eastAsia="zh-CN"/>
              </w:rPr>
              <w:t>。</w:t>
            </w:r>
          </w:p>
        </w:tc>
      </w:tr>
      <w:tr w14:paraId="7AC80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6C6467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7</w:t>
            </w:r>
          </w:p>
        </w:tc>
        <w:tc>
          <w:tcPr>
            <w:tcW w:w="928" w:type="pct"/>
            <w:tcBorders>
              <w:tl2br w:val="nil"/>
              <w:tr2bl w:val="nil"/>
            </w:tcBorders>
            <w:shd w:val="clear" w:color="auto" w:fill="auto"/>
            <w:vAlign w:val="center"/>
          </w:tcPr>
          <w:p w14:paraId="6319D3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公告咨询</w:t>
            </w:r>
          </w:p>
        </w:tc>
        <w:tc>
          <w:tcPr>
            <w:tcW w:w="3727" w:type="pct"/>
            <w:tcBorders>
              <w:tl2br w:val="nil"/>
              <w:tr2bl w:val="nil"/>
            </w:tcBorders>
            <w:shd w:val="clear" w:color="auto" w:fill="auto"/>
            <w:vAlign w:val="center"/>
          </w:tcPr>
          <w:p w14:paraId="27CF54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通知公告、行业动态</w:t>
            </w:r>
            <w:r>
              <w:rPr>
                <w:rFonts w:hint="eastAsia" w:ascii="宋体" w:hAnsi="宋体" w:eastAsia="宋体" w:cs="宋体"/>
                <w:sz w:val="24"/>
                <w:szCs w:val="24"/>
                <w:lang w:val="en-US" w:eastAsia="zh-CN"/>
              </w:rPr>
              <w:t>等</w:t>
            </w:r>
            <w:r>
              <w:rPr>
                <w:rFonts w:hint="eastAsia" w:ascii="宋体" w:hAnsi="宋体" w:eastAsia="宋体" w:cs="宋体"/>
                <w:sz w:val="24"/>
                <w:szCs w:val="24"/>
              </w:rPr>
              <w:t>。</w:t>
            </w:r>
          </w:p>
        </w:tc>
      </w:tr>
      <w:tr w14:paraId="41178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42A51F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8</w:t>
            </w:r>
          </w:p>
        </w:tc>
        <w:tc>
          <w:tcPr>
            <w:tcW w:w="928" w:type="pct"/>
            <w:tcBorders>
              <w:tl2br w:val="nil"/>
              <w:tr2bl w:val="nil"/>
            </w:tcBorders>
            <w:shd w:val="clear" w:color="auto" w:fill="auto"/>
            <w:vAlign w:val="center"/>
          </w:tcPr>
          <w:p w14:paraId="5E76D3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招商服务</w:t>
            </w:r>
          </w:p>
        </w:tc>
        <w:tc>
          <w:tcPr>
            <w:tcW w:w="3727" w:type="pct"/>
            <w:tcBorders>
              <w:tl2br w:val="nil"/>
              <w:tr2bl w:val="nil"/>
            </w:tcBorders>
            <w:shd w:val="clear" w:color="auto" w:fill="auto"/>
            <w:vAlign w:val="center"/>
          </w:tcPr>
          <w:p w14:paraId="3C290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综试区政策介绍、联系方式</w:t>
            </w:r>
            <w:r>
              <w:rPr>
                <w:rFonts w:hint="eastAsia" w:ascii="宋体" w:hAnsi="宋体" w:eastAsia="宋体" w:cs="宋体"/>
                <w:sz w:val="24"/>
                <w:szCs w:val="24"/>
                <w:lang w:val="en-US" w:eastAsia="zh-CN"/>
              </w:rPr>
              <w:t>等</w:t>
            </w:r>
            <w:r>
              <w:rPr>
                <w:rFonts w:hint="eastAsia" w:ascii="宋体" w:hAnsi="宋体" w:eastAsia="宋体" w:cs="宋体"/>
                <w:sz w:val="24"/>
                <w:szCs w:val="24"/>
              </w:rPr>
              <w:t>。</w:t>
            </w:r>
          </w:p>
        </w:tc>
      </w:tr>
      <w:tr w14:paraId="5CACC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292074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9</w:t>
            </w:r>
          </w:p>
        </w:tc>
        <w:tc>
          <w:tcPr>
            <w:tcW w:w="928" w:type="pct"/>
            <w:tcBorders>
              <w:tl2br w:val="nil"/>
              <w:tr2bl w:val="nil"/>
            </w:tcBorders>
            <w:shd w:val="clear" w:color="auto" w:fill="auto"/>
            <w:vAlign w:val="center"/>
          </w:tcPr>
          <w:p w14:paraId="4FD2BD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重点企业</w:t>
            </w:r>
          </w:p>
        </w:tc>
        <w:tc>
          <w:tcPr>
            <w:tcW w:w="3727" w:type="pct"/>
            <w:tcBorders>
              <w:tl2br w:val="nil"/>
              <w:tr2bl w:val="nil"/>
            </w:tcBorders>
            <w:shd w:val="clear" w:color="auto" w:fill="auto"/>
            <w:vAlign w:val="center"/>
          </w:tcPr>
          <w:p w14:paraId="2180A0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重点企业列表、企业介绍</w:t>
            </w:r>
            <w:r>
              <w:rPr>
                <w:rFonts w:hint="eastAsia" w:ascii="宋体" w:hAnsi="宋体" w:eastAsia="宋体" w:cs="宋体"/>
                <w:sz w:val="24"/>
                <w:szCs w:val="24"/>
                <w:lang w:val="en-US" w:eastAsia="zh-CN"/>
              </w:rPr>
              <w:t>等</w:t>
            </w:r>
            <w:r>
              <w:rPr>
                <w:rFonts w:hint="eastAsia" w:ascii="宋体" w:hAnsi="宋体" w:eastAsia="宋体" w:cs="宋体"/>
                <w:sz w:val="24"/>
                <w:szCs w:val="24"/>
              </w:rPr>
              <w:t>。</w:t>
            </w:r>
          </w:p>
        </w:tc>
      </w:tr>
      <w:tr w14:paraId="61268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3571A9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10</w:t>
            </w:r>
          </w:p>
        </w:tc>
        <w:tc>
          <w:tcPr>
            <w:tcW w:w="928" w:type="pct"/>
            <w:tcBorders>
              <w:tl2br w:val="nil"/>
              <w:tr2bl w:val="nil"/>
            </w:tcBorders>
            <w:shd w:val="clear" w:color="auto" w:fill="auto"/>
            <w:vAlign w:val="center"/>
          </w:tcPr>
          <w:p w14:paraId="4F9992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业务法规</w:t>
            </w:r>
          </w:p>
        </w:tc>
        <w:tc>
          <w:tcPr>
            <w:tcW w:w="3727" w:type="pct"/>
            <w:tcBorders>
              <w:tl2br w:val="nil"/>
              <w:tr2bl w:val="nil"/>
            </w:tcBorders>
            <w:shd w:val="clear" w:color="auto" w:fill="auto"/>
            <w:vAlign w:val="center"/>
          </w:tcPr>
          <w:p w14:paraId="36C0FD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sz w:val="24"/>
                <w:szCs w:val="24"/>
              </w:rPr>
              <w:t>跨境业务介绍、国家政策、地方政策</w:t>
            </w:r>
            <w:r>
              <w:rPr>
                <w:rFonts w:hint="eastAsia" w:ascii="宋体" w:hAnsi="宋体" w:eastAsia="宋体" w:cs="宋体"/>
                <w:sz w:val="24"/>
                <w:szCs w:val="24"/>
                <w:lang w:val="en-US" w:eastAsia="zh-CN"/>
              </w:rPr>
              <w:t>等</w:t>
            </w:r>
            <w:r>
              <w:rPr>
                <w:rFonts w:hint="eastAsia" w:ascii="宋体" w:hAnsi="宋体" w:eastAsia="宋体" w:cs="宋体"/>
                <w:sz w:val="24"/>
                <w:szCs w:val="24"/>
              </w:rPr>
              <w:t>。</w:t>
            </w:r>
          </w:p>
        </w:tc>
      </w:tr>
      <w:tr w14:paraId="07D81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354F2C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11</w:t>
            </w:r>
          </w:p>
        </w:tc>
        <w:tc>
          <w:tcPr>
            <w:tcW w:w="928" w:type="pct"/>
            <w:vMerge w:val="restart"/>
            <w:tcBorders>
              <w:tl2br w:val="nil"/>
              <w:tr2bl w:val="nil"/>
            </w:tcBorders>
            <w:shd w:val="clear" w:color="auto" w:fill="auto"/>
            <w:vAlign w:val="center"/>
          </w:tcPr>
          <w:p w14:paraId="763E1A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系统管理</w:t>
            </w:r>
          </w:p>
        </w:tc>
        <w:tc>
          <w:tcPr>
            <w:tcW w:w="3727" w:type="pct"/>
            <w:tcBorders>
              <w:tl2br w:val="nil"/>
              <w:tr2bl w:val="nil"/>
            </w:tcBorders>
            <w:shd w:val="clear" w:color="auto" w:fill="auto"/>
            <w:vAlign w:val="center"/>
          </w:tcPr>
          <w:p w14:paraId="3EDB87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用户管理</w:t>
            </w:r>
          </w:p>
        </w:tc>
      </w:tr>
      <w:tr w14:paraId="4722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01AA11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12</w:t>
            </w:r>
          </w:p>
        </w:tc>
        <w:tc>
          <w:tcPr>
            <w:tcW w:w="928" w:type="pct"/>
            <w:vMerge w:val="continue"/>
            <w:tcBorders>
              <w:tl2br w:val="nil"/>
              <w:tr2bl w:val="nil"/>
            </w:tcBorders>
            <w:vAlign w:val="center"/>
          </w:tcPr>
          <w:p w14:paraId="3B79CD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p>
        </w:tc>
        <w:tc>
          <w:tcPr>
            <w:tcW w:w="3727" w:type="pct"/>
            <w:tcBorders>
              <w:tl2br w:val="nil"/>
              <w:tr2bl w:val="nil"/>
            </w:tcBorders>
            <w:shd w:val="clear" w:color="auto" w:fill="auto"/>
            <w:vAlign w:val="center"/>
          </w:tcPr>
          <w:p w14:paraId="47A6AF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企业管理</w:t>
            </w:r>
          </w:p>
        </w:tc>
      </w:tr>
      <w:tr w14:paraId="17D6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44" w:type="pct"/>
            <w:tcBorders>
              <w:tl2br w:val="nil"/>
              <w:tr2bl w:val="nil"/>
            </w:tcBorders>
            <w:shd w:val="clear" w:color="auto" w:fill="auto"/>
            <w:vAlign w:val="center"/>
          </w:tcPr>
          <w:p w14:paraId="29BFC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13</w:t>
            </w:r>
          </w:p>
        </w:tc>
        <w:tc>
          <w:tcPr>
            <w:tcW w:w="928" w:type="pct"/>
            <w:vMerge w:val="continue"/>
            <w:tcBorders>
              <w:tl2br w:val="nil"/>
              <w:tr2bl w:val="nil"/>
            </w:tcBorders>
            <w:vAlign w:val="center"/>
          </w:tcPr>
          <w:p w14:paraId="4DB359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p>
        </w:tc>
        <w:tc>
          <w:tcPr>
            <w:tcW w:w="3727" w:type="pct"/>
            <w:tcBorders>
              <w:tl2br w:val="nil"/>
              <w:tr2bl w:val="nil"/>
            </w:tcBorders>
            <w:shd w:val="clear" w:color="auto" w:fill="auto"/>
            <w:vAlign w:val="center"/>
          </w:tcPr>
          <w:p w14:paraId="1E4839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内容管理</w:t>
            </w:r>
          </w:p>
        </w:tc>
      </w:tr>
      <w:tr w14:paraId="1A9B1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344" w:type="pct"/>
            <w:tcBorders>
              <w:tl2br w:val="nil"/>
              <w:tr2bl w:val="nil"/>
            </w:tcBorders>
            <w:shd w:val="clear" w:color="auto" w:fill="auto"/>
            <w:vAlign w:val="center"/>
          </w:tcPr>
          <w:p w14:paraId="1F488D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r>
              <w:rPr>
                <w:rFonts w:hint="eastAsia" w:ascii="宋体" w:hAnsi="宋体" w:eastAsia="宋体" w:cs="宋体"/>
                <w:sz w:val="24"/>
                <w:szCs w:val="24"/>
              </w:rPr>
              <w:t>14</w:t>
            </w:r>
          </w:p>
        </w:tc>
        <w:tc>
          <w:tcPr>
            <w:tcW w:w="928" w:type="pct"/>
            <w:vMerge w:val="continue"/>
            <w:tcBorders>
              <w:tl2br w:val="nil"/>
              <w:tr2bl w:val="nil"/>
            </w:tcBorders>
            <w:vAlign w:val="center"/>
          </w:tcPr>
          <w:p w14:paraId="6DC660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color w:val="000000"/>
                <w:kern w:val="0"/>
                <w:sz w:val="24"/>
                <w:szCs w:val="24"/>
              </w:rPr>
            </w:pPr>
          </w:p>
        </w:tc>
        <w:tc>
          <w:tcPr>
            <w:tcW w:w="3727" w:type="pct"/>
            <w:tcBorders>
              <w:tl2br w:val="nil"/>
              <w:tr2bl w:val="nil"/>
            </w:tcBorders>
            <w:shd w:val="clear" w:color="auto" w:fill="auto"/>
            <w:vAlign w:val="center"/>
          </w:tcPr>
          <w:p w14:paraId="71187A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参数管理</w:t>
            </w:r>
          </w:p>
        </w:tc>
      </w:tr>
    </w:tbl>
    <w:p w14:paraId="05DECB4F">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4.2省单一窗口系统接口</w:t>
      </w:r>
    </w:p>
    <w:tbl>
      <w:tblPr>
        <w:tblStyle w:val="17"/>
        <w:tblW w:w="49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87"/>
        <w:gridCol w:w="1814"/>
        <w:gridCol w:w="7312"/>
      </w:tblGrid>
      <w:tr w14:paraId="5D754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50" w:type="pct"/>
            <w:tcBorders>
              <w:tl2br w:val="nil"/>
              <w:tr2bl w:val="nil"/>
            </w:tcBorders>
            <w:shd w:val="clear" w:color="auto" w:fill="FFFFFF" w:themeFill="background1"/>
            <w:vAlign w:val="center"/>
          </w:tcPr>
          <w:p w14:paraId="7EC3DE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924" w:type="pct"/>
            <w:tcBorders>
              <w:tl2br w:val="nil"/>
              <w:tr2bl w:val="nil"/>
            </w:tcBorders>
            <w:shd w:val="clear" w:color="auto" w:fill="FFFFFF" w:themeFill="background1"/>
            <w:vAlign w:val="center"/>
          </w:tcPr>
          <w:p w14:paraId="49D15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3725" w:type="pct"/>
            <w:tcBorders>
              <w:tl2br w:val="nil"/>
              <w:tr2bl w:val="nil"/>
            </w:tcBorders>
            <w:shd w:val="clear" w:color="auto" w:fill="FFFFFF" w:themeFill="background1"/>
            <w:vAlign w:val="center"/>
          </w:tcPr>
          <w:p w14:paraId="6A8B88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二级功能</w:t>
            </w:r>
          </w:p>
        </w:tc>
      </w:tr>
      <w:tr w14:paraId="1B24F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0" w:type="pct"/>
            <w:tcBorders>
              <w:tl2br w:val="nil"/>
              <w:tr2bl w:val="nil"/>
            </w:tcBorders>
            <w:shd w:val="clear" w:color="auto" w:fill="auto"/>
            <w:vAlign w:val="center"/>
          </w:tcPr>
          <w:p w14:paraId="174479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924" w:type="pct"/>
            <w:tcBorders>
              <w:tl2br w:val="nil"/>
              <w:tr2bl w:val="nil"/>
            </w:tcBorders>
            <w:shd w:val="clear" w:color="auto" w:fill="auto"/>
            <w:vAlign w:val="center"/>
          </w:tcPr>
          <w:p w14:paraId="16D03B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统一权限接口</w:t>
            </w:r>
          </w:p>
        </w:tc>
        <w:tc>
          <w:tcPr>
            <w:tcW w:w="3725" w:type="pct"/>
            <w:tcBorders>
              <w:tl2br w:val="nil"/>
              <w:tr2bl w:val="nil"/>
            </w:tcBorders>
            <w:shd w:val="clear" w:color="auto" w:fill="auto"/>
            <w:vAlign w:val="center"/>
          </w:tcPr>
          <w:p w14:paraId="21DE95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管理用户登录和权限验证。</w:t>
            </w:r>
          </w:p>
        </w:tc>
      </w:tr>
      <w:tr w14:paraId="2ED55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0" w:type="pct"/>
            <w:tcBorders>
              <w:tl2br w:val="nil"/>
              <w:tr2bl w:val="nil"/>
            </w:tcBorders>
            <w:shd w:val="clear" w:color="auto" w:fill="auto"/>
            <w:vAlign w:val="center"/>
          </w:tcPr>
          <w:p w14:paraId="500BCB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924" w:type="pct"/>
            <w:tcBorders>
              <w:tl2br w:val="nil"/>
              <w:tr2bl w:val="nil"/>
            </w:tcBorders>
            <w:shd w:val="clear" w:color="auto" w:fill="auto"/>
            <w:vAlign w:val="center"/>
          </w:tcPr>
          <w:p w14:paraId="3CB0C0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订单报文接口</w:t>
            </w:r>
          </w:p>
        </w:tc>
        <w:tc>
          <w:tcPr>
            <w:tcW w:w="3725" w:type="pct"/>
            <w:tcBorders>
              <w:tl2br w:val="nil"/>
              <w:tr2bl w:val="nil"/>
            </w:tcBorders>
            <w:shd w:val="clear" w:color="auto" w:fill="auto"/>
            <w:vAlign w:val="center"/>
          </w:tcPr>
          <w:p w14:paraId="28A32D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发送订单报文。</w:t>
            </w:r>
          </w:p>
        </w:tc>
      </w:tr>
      <w:tr w14:paraId="7EC85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17D544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924" w:type="pct"/>
            <w:tcBorders>
              <w:tl2br w:val="nil"/>
              <w:tr2bl w:val="nil"/>
            </w:tcBorders>
            <w:shd w:val="clear" w:color="auto" w:fill="auto"/>
            <w:vAlign w:val="center"/>
          </w:tcPr>
          <w:p w14:paraId="72DC58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订单回执报文接口</w:t>
            </w:r>
          </w:p>
        </w:tc>
        <w:tc>
          <w:tcPr>
            <w:tcW w:w="3725" w:type="pct"/>
            <w:tcBorders>
              <w:tl2br w:val="nil"/>
              <w:tr2bl w:val="nil"/>
            </w:tcBorders>
            <w:shd w:val="clear" w:color="auto" w:fill="auto"/>
            <w:vAlign w:val="center"/>
          </w:tcPr>
          <w:p w14:paraId="2531C3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接收订单回执报文。</w:t>
            </w:r>
          </w:p>
        </w:tc>
      </w:tr>
      <w:tr w14:paraId="2A2A4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5FF0CB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924" w:type="pct"/>
            <w:tcBorders>
              <w:tl2br w:val="nil"/>
              <w:tr2bl w:val="nil"/>
            </w:tcBorders>
            <w:shd w:val="clear" w:color="auto" w:fill="auto"/>
            <w:vAlign w:val="center"/>
          </w:tcPr>
          <w:p w14:paraId="3D29FE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收款单报文接口</w:t>
            </w:r>
          </w:p>
        </w:tc>
        <w:tc>
          <w:tcPr>
            <w:tcW w:w="3725" w:type="pct"/>
            <w:tcBorders>
              <w:tl2br w:val="nil"/>
              <w:tr2bl w:val="nil"/>
            </w:tcBorders>
            <w:shd w:val="clear" w:color="auto" w:fill="auto"/>
            <w:vAlign w:val="center"/>
          </w:tcPr>
          <w:p w14:paraId="65D2E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发送收款单报文。</w:t>
            </w:r>
          </w:p>
        </w:tc>
      </w:tr>
      <w:tr w14:paraId="45C4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08D1F0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924" w:type="pct"/>
            <w:tcBorders>
              <w:tl2br w:val="nil"/>
              <w:tr2bl w:val="nil"/>
            </w:tcBorders>
            <w:shd w:val="clear" w:color="auto" w:fill="auto"/>
            <w:vAlign w:val="center"/>
          </w:tcPr>
          <w:p w14:paraId="7EA517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收款单回执报文接口</w:t>
            </w:r>
          </w:p>
        </w:tc>
        <w:tc>
          <w:tcPr>
            <w:tcW w:w="3725" w:type="pct"/>
            <w:tcBorders>
              <w:tl2br w:val="nil"/>
              <w:tr2bl w:val="nil"/>
            </w:tcBorders>
            <w:shd w:val="clear" w:color="auto" w:fill="auto"/>
            <w:vAlign w:val="center"/>
          </w:tcPr>
          <w:p w14:paraId="431340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接收收款单回执报文。</w:t>
            </w:r>
          </w:p>
        </w:tc>
      </w:tr>
      <w:tr w14:paraId="27C57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0" w:type="pct"/>
            <w:tcBorders>
              <w:tl2br w:val="nil"/>
              <w:tr2bl w:val="nil"/>
            </w:tcBorders>
            <w:shd w:val="clear" w:color="auto" w:fill="auto"/>
            <w:vAlign w:val="center"/>
          </w:tcPr>
          <w:p w14:paraId="5F30B7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924" w:type="pct"/>
            <w:tcBorders>
              <w:tl2br w:val="nil"/>
              <w:tr2bl w:val="nil"/>
            </w:tcBorders>
            <w:shd w:val="clear" w:color="auto" w:fill="auto"/>
            <w:vAlign w:val="center"/>
          </w:tcPr>
          <w:p w14:paraId="59DA82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运单报文接口</w:t>
            </w:r>
          </w:p>
        </w:tc>
        <w:tc>
          <w:tcPr>
            <w:tcW w:w="3725" w:type="pct"/>
            <w:tcBorders>
              <w:tl2br w:val="nil"/>
              <w:tr2bl w:val="nil"/>
            </w:tcBorders>
            <w:shd w:val="clear" w:color="auto" w:fill="auto"/>
            <w:vAlign w:val="center"/>
          </w:tcPr>
          <w:p w14:paraId="0FFCC6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发送运单报文。</w:t>
            </w:r>
          </w:p>
        </w:tc>
      </w:tr>
      <w:tr w14:paraId="78BCD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0C48B8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7</w:t>
            </w:r>
          </w:p>
        </w:tc>
        <w:tc>
          <w:tcPr>
            <w:tcW w:w="924" w:type="pct"/>
            <w:tcBorders>
              <w:tl2br w:val="nil"/>
              <w:tr2bl w:val="nil"/>
            </w:tcBorders>
            <w:shd w:val="clear" w:color="auto" w:fill="auto"/>
            <w:vAlign w:val="center"/>
          </w:tcPr>
          <w:p w14:paraId="5E4D1F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运单回执报文接口</w:t>
            </w:r>
          </w:p>
        </w:tc>
        <w:tc>
          <w:tcPr>
            <w:tcW w:w="3725" w:type="pct"/>
            <w:tcBorders>
              <w:tl2br w:val="nil"/>
              <w:tr2bl w:val="nil"/>
            </w:tcBorders>
            <w:shd w:val="clear" w:color="auto" w:fill="auto"/>
            <w:vAlign w:val="center"/>
          </w:tcPr>
          <w:p w14:paraId="2CCA26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接收运单回执报文。</w:t>
            </w:r>
          </w:p>
        </w:tc>
      </w:tr>
      <w:tr w14:paraId="1E08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48485A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p>
        </w:tc>
        <w:tc>
          <w:tcPr>
            <w:tcW w:w="924" w:type="pct"/>
            <w:tcBorders>
              <w:tl2br w:val="nil"/>
              <w:tr2bl w:val="nil"/>
            </w:tcBorders>
            <w:shd w:val="clear" w:color="auto" w:fill="auto"/>
            <w:vAlign w:val="center"/>
          </w:tcPr>
          <w:p w14:paraId="3E9AF6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运抵单报文接口</w:t>
            </w:r>
          </w:p>
        </w:tc>
        <w:tc>
          <w:tcPr>
            <w:tcW w:w="3725" w:type="pct"/>
            <w:tcBorders>
              <w:tl2br w:val="nil"/>
              <w:tr2bl w:val="nil"/>
            </w:tcBorders>
            <w:shd w:val="clear" w:color="auto" w:fill="auto"/>
            <w:vAlign w:val="center"/>
          </w:tcPr>
          <w:p w14:paraId="4040A8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发送运抵单报文接口。</w:t>
            </w:r>
          </w:p>
        </w:tc>
      </w:tr>
      <w:tr w14:paraId="0D07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286A63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9</w:t>
            </w:r>
          </w:p>
        </w:tc>
        <w:tc>
          <w:tcPr>
            <w:tcW w:w="924" w:type="pct"/>
            <w:tcBorders>
              <w:tl2br w:val="nil"/>
              <w:tr2bl w:val="nil"/>
            </w:tcBorders>
            <w:shd w:val="clear" w:color="auto" w:fill="auto"/>
            <w:vAlign w:val="center"/>
          </w:tcPr>
          <w:p w14:paraId="3F49E8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运抵单回执报文接口</w:t>
            </w:r>
          </w:p>
        </w:tc>
        <w:tc>
          <w:tcPr>
            <w:tcW w:w="3725" w:type="pct"/>
            <w:tcBorders>
              <w:tl2br w:val="nil"/>
              <w:tr2bl w:val="nil"/>
            </w:tcBorders>
            <w:shd w:val="clear" w:color="auto" w:fill="auto"/>
            <w:vAlign w:val="center"/>
          </w:tcPr>
          <w:p w14:paraId="43D763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接收运抵单回执报文接口。</w:t>
            </w:r>
          </w:p>
        </w:tc>
      </w:tr>
      <w:tr w14:paraId="557DA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33F045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p>
        </w:tc>
        <w:tc>
          <w:tcPr>
            <w:tcW w:w="924" w:type="pct"/>
            <w:tcBorders>
              <w:tl2br w:val="nil"/>
              <w:tr2bl w:val="nil"/>
            </w:tcBorders>
            <w:shd w:val="clear" w:color="auto" w:fill="auto"/>
            <w:vAlign w:val="center"/>
          </w:tcPr>
          <w:p w14:paraId="57D311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出口清单报文接口</w:t>
            </w:r>
          </w:p>
        </w:tc>
        <w:tc>
          <w:tcPr>
            <w:tcW w:w="3725" w:type="pct"/>
            <w:tcBorders>
              <w:tl2br w:val="nil"/>
              <w:tr2bl w:val="nil"/>
            </w:tcBorders>
            <w:shd w:val="clear" w:color="auto" w:fill="auto"/>
            <w:vAlign w:val="center"/>
          </w:tcPr>
          <w:p w14:paraId="0F1BD4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发送出口清单报文接口。</w:t>
            </w:r>
          </w:p>
        </w:tc>
      </w:tr>
      <w:tr w14:paraId="09A01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0CDC2D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11</w:t>
            </w:r>
          </w:p>
        </w:tc>
        <w:tc>
          <w:tcPr>
            <w:tcW w:w="924" w:type="pct"/>
            <w:tcBorders>
              <w:tl2br w:val="nil"/>
              <w:tr2bl w:val="nil"/>
            </w:tcBorders>
            <w:shd w:val="clear" w:color="auto" w:fill="auto"/>
            <w:vAlign w:val="center"/>
          </w:tcPr>
          <w:p w14:paraId="453263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出口清单回执报文接口</w:t>
            </w:r>
          </w:p>
        </w:tc>
        <w:tc>
          <w:tcPr>
            <w:tcW w:w="3725" w:type="pct"/>
            <w:tcBorders>
              <w:tl2br w:val="nil"/>
              <w:tr2bl w:val="nil"/>
            </w:tcBorders>
            <w:shd w:val="clear" w:color="auto" w:fill="auto"/>
            <w:vAlign w:val="center"/>
          </w:tcPr>
          <w:p w14:paraId="580448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接收出口清单回执报文接口。</w:t>
            </w:r>
          </w:p>
        </w:tc>
      </w:tr>
      <w:tr w14:paraId="1F637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111382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12</w:t>
            </w:r>
          </w:p>
        </w:tc>
        <w:tc>
          <w:tcPr>
            <w:tcW w:w="924" w:type="pct"/>
            <w:tcBorders>
              <w:tl2br w:val="nil"/>
              <w:tr2bl w:val="nil"/>
            </w:tcBorders>
            <w:shd w:val="clear" w:color="auto" w:fill="auto"/>
            <w:vAlign w:val="center"/>
          </w:tcPr>
          <w:p w14:paraId="19DAC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清单总分单报文接口</w:t>
            </w:r>
          </w:p>
        </w:tc>
        <w:tc>
          <w:tcPr>
            <w:tcW w:w="3725" w:type="pct"/>
            <w:tcBorders>
              <w:tl2br w:val="nil"/>
              <w:tr2bl w:val="nil"/>
            </w:tcBorders>
            <w:shd w:val="clear" w:color="auto" w:fill="auto"/>
            <w:vAlign w:val="center"/>
          </w:tcPr>
          <w:p w14:paraId="56D71A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发送清单总分单报文接口。</w:t>
            </w:r>
          </w:p>
        </w:tc>
      </w:tr>
      <w:tr w14:paraId="4A3C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50" w:type="pct"/>
            <w:tcBorders>
              <w:tl2br w:val="nil"/>
              <w:tr2bl w:val="nil"/>
            </w:tcBorders>
            <w:shd w:val="clear" w:color="auto" w:fill="auto"/>
            <w:vAlign w:val="center"/>
          </w:tcPr>
          <w:p w14:paraId="108137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13</w:t>
            </w:r>
          </w:p>
        </w:tc>
        <w:tc>
          <w:tcPr>
            <w:tcW w:w="924" w:type="pct"/>
            <w:tcBorders>
              <w:tl2br w:val="nil"/>
              <w:tr2bl w:val="nil"/>
            </w:tcBorders>
            <w:shd w:val="clear" w:color="auto" w:fill="auto"/>
            <w:vAlign w:val="center"/>
          </w:tcPr>
          <w:p w14:paraId="050C00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清单总分单回执报文接口</w:t>
            </w:r>
          </w:p>
        </w:tc>
        <w:tc>
          <w:tcPr>
            <w:tcW w:w="3725" w:type="pct"/>
            <w:tcBorders>
              <w:tl2br w:val="nil"/>
              <w:tr2bl w:val="nil"/>
            </w:tcBorders>
            <w:shd w:val="clear" w:color="auto" w:fill="auto"/>
            <w:vAlign w:val="center"/>
          </w:tcPr>
          <w:p w14:paraId="4B2E2B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接收清单总分单回执报文接口。</w:t>
            </w:r>
          </w:p>
        </w:tc>
      </w:tr>
      <w:tr w14:paraId="5E358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350" w:type="pct"/>
            <w:tcBorders>
              <w:tl2br w:val="nil"/>
              <w:tr2bl w:val="nil"/>
            </w:tcBorders>
            <w:shd w:val="clear" w:color="auto" w:fill="auto"/>
            <w:vAlign w:val="center"/>
          </w:tcPr>
          <w:p w14:paraId="1C2D2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14</w:t>
            </w:r>
          </w:p>
        </w:tc>
        <w:tc>
          <w:tcPr>
            <w:tcW w:w="924" w:type="pct"/>
            <w:tcBorders>
              <w:tl2br w:val="nil"/>
              <w:tr2bl w:val="nil"/>
            </w:tcBorders>
            <w:shd w:val="clear" w:color="auto" w:fill="auto"/>
            <w:vAlign w:val="center"/>
          </w:tcPr>
          <w:p w14:paraId="1853D0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物流库管理接口对接</w:t>
            </w:r>
          </w:p>
        </w:tc>
        <w:tc>
          <w:tcPr>
            <w:tcW w:w="3725" w:type="pct"/>
            <w:tcBorders>
              <w:tl2br w:val="nil"/>
              <w:tr2bl w:val="nil"/>
            </w:tcBorders>
            <w:shd w:val="clear" w:color="auto" w:fill="auto"/>
            <w:vAlign w:val="center"/>
          </w:tcPr>
          <w:p w14:paraId="2C4A11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对接物流库管理系统，作为物流库系统和各项服务应用系统的数据处理支撑平台，支持基础的公共功能以及大批量的信息交换处理，保证系统间可以有效地进行协同工作。</w:t>
            </w:r>
          </w:p>
        </w:tc>
      </w:tr>
      <w:tr w14:paraId="08E81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92" w:hRule="atLeast"/>
        </w:trPr>
        <w:tc>
          <w:tcPr>
            <w:tcW w:w="350" w:type="pct"/>
            <w:tcBorders>
              <w:tl2br w:val="nil"/>
              <w:tr2bl w:val="nil"/>
            </w:tcBorders>
            <w:shd w:val="clear" w:color="auto" w:fill="auto"/>
            <w:vAlign w:val="center"/>
          </w:tcPr>
          <w:p w14:paraId="11100C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15</w:t>
            </w:r>
          </w:p>
        </w:tc>
        <w:tc>
          <w:tcPr>
            <w:tcW w:w="924" w:type="pct"/>
            <w:tcBorders>
              <w:tl2br w:val="nil"/>
              <w:tr2bl w:val="nil"/>
            </w:tcBorders>
            <w:shd w:val="clear" w:color="auto" w:fill="auto"/>
            <w:vAlign w:val="center"/>
          </w:tcPr>
          <w:p w14:paraId="76AE1E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查验系统接口对接</w:t>
            </w:r>
          </w:p>
        </w:tc>
        <w:tc>
          <w:tcPr>
            <w:tcW w:w="3725" w:type="pct"/>
            <w:tcBorders>
              <w:tl2br w:val="nil"/>
              <w:tr2bl w:val="nil"/>
            </w:tcBorders>
            <w:shd w:val="clear" w:color="auto" w:fill="auto"/>
            <w:vAlign w:val="center"/>
          </w:tcPr>
          <w:p w14:paraId="08E31B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对接查验系统，满足物流公司、快递企业、跨境电商的需求，对进驻宁德的快件、跨境经营企业提供良好的通关环境；同时解决现场海关监管难、工作量大等实际通关壁垒；结合宁德快件和跨境监管中心的运作特点，对园区分拣线集中解决通关物流监管与服务，有效提高海关执法效率。提高通关效率，降低通关风险，减少企业多次录入、数据标准不统一等问题。从而提高整个快件、跨境进出口服务核心，在企业侧建立一个数据通道，通过海关标准的报文格式进行封装。符合海关规定符合信息安全文件传输规定，保障业务的同时也提高数据安全。</w:t>
            </w:r>
          </w:p>
        </w:tc>
      </w:tr>
    </w:tbl>
    <w:p w14:paraId="5CA3FDAA">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4.3海关监管系统接口</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00"/>
        <w:gridCol w:w="1812"/>
        <w:gridCol w:w="7313"/>
      </w:tblGrid>
      <w:tr w14:paraId="5C0F1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56" w:type="pct"/>
            <w:tcBorders>
              <w:tl2br w:val="nil"/>
              <w:tr2bl w:val="nil"/>
            </w:tcBorders>
            <w:shd w:val="clear" w:color="auto" w:fill="FFFFFF" w:themeFill="background1"/>
            <w:vAlign w:val="center"/>
          </w:tcPr>
          <w:p w14:paraId="0A69D8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922" w:type="pct"/>
            <w:tcBorders>
              <w:tl2br w:val="nil"/>
              <w:tr2bl w:val="nil"/>
            </w:tcBorders>
            <w:shd w:val="clear" w:color="auto" w:fill="FFFFFF" w:themeFill="background1"/>
            <w:vAlign w:val="center"/>
          </w:tcPr>
          <w:p w14:paraId="4A1932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3721" w:type="pct"/>
            <w:tcBorders>
              <w:tl2br w:val="nil"/>
              <w:tr2bl w:val="nil"/>
            </w:tcBorders>
            <w:shd w:val="clear" w:color="auto" w:fill="FFFFFF" w:themeFill="background1"/>
            <w:vAlign w:val="center"/>
          </w:tcPr>
          <w:p w14:paraId="0C09AC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二级功能</w:t>
            </w:r>
          </w:p>
        </w:tc>
      </w:tr>
      <w:tr w14:paraId="328F3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0" w:hRule="atLeast"/>
        </w:trPr>
        <w:tc>
          <w:tcPr>
            <w:tcW w:w="356" w:type="pct"/>
            <w:tcBorders>
              <w:tl2br w:val="nil"/>
              <w:tr2bl w:val="nil"/>
            </w:tcBorders>
            <w:shd w:val="clear" w:color="auto" w:fill="auto"/>
            <w:vAlign w:val="center"/>
          </w:tcPr>
          <w:p w14:paraId="776FF4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922" w:type="pct"/>
            <w:tcBorders>
              <w:tl2br w:val="nil"/>
              <w:tr2bl w:val="nil"/>
            </w:tcBorders>
            <w:shd w:val="clear" w:color="auto" w:fill="auto"/>
            <w:vAlign w:val="center"/>
          </w:tcPr>
          <w:p w14:paraId="7A8315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卡口支撑平台对接</w:t>
            </w:r>
          </w:p>
        </w:tc>
        <w:tc>
          <w:tcPr>
            <w:tcW w:w="3721" w:type="pct"/>
            <w:tcBorders>
              <w:tl2br w:val="nil"/>
              <w:tr2bl w:val="nil"/>
            </w:tcBorders>
            <w:shd w:val="clear" w:color="auto" w:fill="auto"/>
            <w:vAlign w:val="center"/>
          </w:tcPr>
          <w:p w14:paraId="642B4F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智能卡口支撑平台，作为前端卡口系统和各项服务应用系统的数据处理支撑平台，它支持基础的公共功能以及大批量的信息交换处理，保证系统间可以有效地进行协同工作。该系统主要需要实现“基础信息管理”、“系统管理”、“通道配置”、“远程监控”、“数据处理”、“数据收发”、“统计分析”、“系统日志管理”、“接口服务”、“接入认证管理”、“数据转发子系统”等功能模块。通过系统主要实现对接系统的相应配置、卡口硬件进行参数配置、远程控制，对硬件采集进行数据处理、数据收发，并进行统计分析、历史查询、日志查询等功能的管理。</w:t>
            </w:r>
          </w:p>
        </w:tc>
      </w:tr>
      <w:tr w14:paraId="0EEE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trPr>
        <w:tc>
          <w:tcPr>
            <w:tcW w:w="356" w:type="pct"/>
            <w:tcBorders>
              <w:tl2br w:val="nil"/>
              <w:tr2bl w:val="nil"/>
            </w:tcBorders>
            <w:shd w:val="clear" w:color="auto" w:fill="auto"/>
            <w:vAlign w:val="center"/>
          </w:tcPr>
          <w:p w14:paraId="1BD2C1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922" w:type="pct"/>
            <w:tcBorders>
              <w:tl2br w:val="nil"/>
              <w:tr2bl w:val="nil"/>
            </w:tcBorders>
            <w:shd w:val="clear" w:color="auto" w:fill="auto"/>
            <w:vAlign w:val="center"/>
          </w:tcPr>
          <w:p w14:paraId="4CB336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分拣线接口对接</w:t>
            </w:r>
          </w:p>
        </w:tc>
        <w:tc>
          <w:tcPr>
            <w:tcW w:w="3721" w:type="pct"/>
            <w:tcBorders>
              <w:tl2br w:val="nil"/>
              <w:tr2bl w:val="nil"/>
            </w:tcBorders>
            <w:shd w:val="clear" w:color="auto" w:fill="auto"/>
            <w:vAlign w:val="center"/>
          </w:tcPr>
          <w:p w14:paraId="4A927E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为了满足物流公司&amp;快递企业、跨境电商的需求，对进驻宁德的快件、跨境经营企业提供良好的通关环境；同时解决现场海关监管难、工作量大等实际通关壁垒；结合宁德快件和跨境监管中心的运作特点，对园区分拣线集中解决通关物流监管与服务，有效提高海关执法效率。提高通关效率，降低通关风险，减少企业多次录入、数据标准不统一等问题。从而提高整个快件、跨境进出口服务核心，在企业侧建立一个数据通道，通过海关标准的报文格式进行封装。符合海关规定符合信息安全文件传输规定，保障业务的同时也提高数据安全。</w:t>
            </w:r>
          </w:p>
        </w:tc>
      </w:tr>
      <w:tr w14:paraId="59E72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56" w:type="pct"/>
            <w:tcBorders>
              <w:tl2br w:val="nil"/>
              <w:tr2bl w:val="nil"/>
            </w:tcBorders>
            <w:shd w:val="clear" w:color="auto" w:fill="auto"/>
            <w:vAlign w:val="center"/>
          </w:tcPr>
          <w:p w14:paraId="44CE20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922" w:type="pct"/>
            <w:tcBorders>
              <w:tl2br w:val="nil"/>
              <w:tr2bl w:val="nil"/>
            </w:tcBorders>
            <w:shd w:val="clear" w:color="auto" w:fill="auto"/>
            <w:vAlign w:val="center"/>
          </w:tcPr>
          <w:p w14:paraId="312689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视频监控系统接口对接</w:t>
            </w:r>
          </w:p>
        </w:tc>
        <w:tc>
          <w:tcPr>
            <w:tcW w:w="3721" w:type="pct"/>
            <w:tcBorders>
              <w:tl2br w:val="nil"/>
              <w:tr2bl w:val="nil"/>
            </w:tcBorders>
            <w:shd w:val="clear" w:color="auto" w:fill="auto"/>
            <w:vAlign w:val="center"/>
          </w:tcPr>
          <w:p w14:paraId="6FBA77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提供视频客户端给各监管科室和宁德海关进行视频查看和调阅，便于海关监管。</w:t>
            </w:r>
          </w:p>
        </w:tc>
      </w:tr>
    </w:tbl>
    <w:p w14:paraId="6F3EFFCE">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4.4单证支撑服务</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11"/>
        <w:gridCol w:w="1800"/>
        <w:gridCol w:w="7314"/>
      </w:tblGrid>
      <w:tr w14:paraId="58E7C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62" w:type="pct"/>
            <w:shd w:val="clear" w:color="auto" w:fill="FFFFFF" w:themeFill="background1"/>
            <w:vAlign w:val="center"/>
          </w:tcPr>
          <w:p w14:paraId="2F8083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916" w:type="pct"/>
            <w:shd w:val="clear" w:color="auto" w:fill="FFFFFF" w:themeFill="background1"/>
            <w:vAlign w:val="center"/>
          </w:tcPr>
          <w:p w14:paraId="1658D2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3721" w:type="pct"/>
            <w:shd w:val="clear" w:color="auto" w:fill="FFFFFF" w:themeFill="background1"/>
            <w:vAlign w:val="center"/>
          </w:tcPr>
          <w:p w14:paraId="5CA990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二级功能</w:t>
            </w:r>
          </w:p>
        </w:tc>
      </w:tr>
      <w:tr w14:paraId="346C7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0" w:hRule="atLeast"/>
        </w:trPr>
        <w:tc>
          <w:tcPr>
            <w:tcW w:w="362" w:type="pct"/>
            <w:shd w:val="clear" w:color="auto" w:fill="auto"/>
            <w:vAlign w:val="center"/>
          </w:tcPr>
          <w:p w14:paraId="0EF65F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916" w:type="pct"/>
            <w:shd w:val="clear" w:color="auto" w:fill="auto"/>
            <w:vAlign w:val="center"/>
          </w:tcPr>
          <w:p w14:paraId="0BC6B0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直购进口（9610）通关申报服务</w:t>
            </w:r>
            <w:r>
              <w:rPr>
                <w:rFonts w:hint="eastAsia" w:ascii="宋体" w:hAnsi="宋体" w:eastAsia="宋体" w:cs="宋体"/>
                <w:b/>
                <w:bCs/>
                <w:sz w:val="24"/>
                <w:szCs w:val="24"/>
                <w:lang w:val="en-US" w:eastAsia="zh-CN"/>
              </w:rPr>
              <w:t>（评标项1）</w:t>
            </w:r>
          </w:p>
        </w:tc>
        <w:tc>
          <w:tcPr>
            <w:tcW w:w="3721" w:type="pct"/>
            <w:shd w:val="clear" w:color="auto" w:fill="auto"/>
            <w:vAlign w:val="top"/>
          </w:tcPr>
          <w:p w14:paraId="630BFC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通过建立与省平台对接，及与电商企业、支付企业和物流企业的互连，配套服务应用，帮助电商企业能更快捷地将国内个人用户购买的物品送到消费者手中。服务内容主要包含9610直购进口订单、运单、支付单、清单、入库明细、妥投单管理，以及接收、查询海关审批状态。</w:t>
            </w:r>
          </w:p>
        </w:tc>
      </w:tr>
      <w:tr w14:paraId="0B965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0" w:hRule="atLeast"/>
        </w:trPr>
        <w:tc>
          <w:tcPr>
            <w:tcW w:w="362" w:type="pct"/>
            <w:shd w:val="clear" w:color="auto" w:fill="auto"/>
            <w:vAlign w:val="center"/>
          </w:tcPr>
          <w:p w14:paraId="729B96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916" w:type="pct"/>
            <w:shd w:val="clear" w:color="auto" w:fill="auto"/>
            <w:vAlign w:val="center"/>
          </w:tcPr>
          <w:p w14:paraId="7F3841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一般出口（9610）通关申报服务</w:t>
            </w:r>
            <w:r>
              <w:rPr>
                <w:rFonts w:hint="eastAsia" w:ascii="宋体" w:hAnsi="宋体" w:eastAsia="宋体" w:cs="宋体"/>
                <w:b/>
                <w:bCs/>
                <w:sz w:val="24"/>
                <w:szCs w:val="24"/>
                <w:lang w:val="en-US" w:eastAsia="zh-CN"/>
              </w:rPr>
              <w:t>（评标项2）</w:t>
            </w:r>
          </w:p>
        </w:tc>
        <w:tc>
          <w:tcPr>
            <w:tcW w:w="3721" w:type="pct"/>
            <w:shd w:val="clear" w:color="auto" w:fill="auto"/>
            <w:vAlign w:val="top"/>
          </w:tcPr>
          <w:p w14:paraId="00466F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实现一般出口业务申报数据与省平台对接；同时，提供企业多种接入的操作方式，实现业务单证全流程申报功能。服务内容主要包含9610一般出口运单、订单、收款单、清单、清单总分单、运抵、离境单、清单汇总的申报、查询功能。接收、查询海关审批状态。</w:t>
            </w:r>
          </w:p>
        </w:tc>
      </w:tr>
      <w:tr w14:paraId="097EC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0" w:hRule="atLeast"/>
        </w:trPr>
        <w:tc>
          <w:tcPr>
            <w:tcW w:w="362" w:type="pct"/>
            <w:shd w:val="clear" w:color="auto" w:fill="auto"/>
            <w:vAlign w:val="center"/>
          </w:tcPr>
          <w:p w14:paraId="6364FF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916" w:type="pct"/>
            <w:shd w:val="clear" w:color="auto" w:fill="auto"/>
            <w:vAlign w:val="center"/>
          </w:tcPr>
          <w:p w14:paraId="518AE2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跨境B2B出口（9710）服务</w:t>
            </w:r>
          </w:p>
        </w:tc>
        <w:tc>
          <w:tcPr>
            <w:tcW w:w="3721" w:type="pct"/>
            <w:shd w:val="clear" w:color="auto" w:fill="auto"/>
            <w:vAlign w:val="top"/>
          </w:tcPr>
          <w:p w14:paraId="4EF2C9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实现跨境电商B2B出口、出口海外仓业务的申报数据与省平台对接；同时，提供企业多种接入的操作方式，实现业务单证全流程申报功能。服务内容主要包含9710、9810出口业务的运单、订单、清单、清单总分单、离境单的申报、查询功能。接收、查询海关审批状态。</w:t>
            </w:r>
          </w:p>
        </w:tc>
      </w:tr>
      <w:tr w14:paraId="2093B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0" w:hRule="atLeast"/>
        </w:trPr>
        <w:tc>
          <w:tcPr>
            <w:tcW w:w="362" w:type="pct"/>
            <w:shd w:val="clear" w:color="auto" w:fill="auto"/>
            <w:vAlign w:val="center"/>
          </w:tcPr>
          <w:p w14:paraId="477EED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916" w:type="pct"/>
            <w:shd w:val="clear" w:color="auto" w:fill="auto"/>
            <w:vAlign w:val="center"/>
          </w:tcPr>
          <w:p w14:paraId="7FB039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出口海外仓（9810）通关申报服务</w:t>
            </w:r>
          </w:p>
        </w:tc>
        <w:tc>
          <w:tcPr>
            <w:tcW w:w="3721" w:type="pct"/>
            <w:shd w:val="clear" w:color="auto" w:fill="auto"/>
            <w:vAlign w:val="top"/>
          </w:tcPr>
          <w:p w14:paraId="3D793B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实现跨境电商B2B出口、出口海外仓业务的申报数据与省平台对接；同时，提供企业多种接入的操作方式，实现业务单证全流程申报功能。服务内容主要包含9710、9810出口业务的运单、订单、清单、清单总分单、离境单的申报、查询功能。接收、查询海关审批状态。</w:t>
            </w:r>
          </w:p>
        </w:tc>
      </w:tr>
      <w:tr w14:paraId="6D425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5" w:hRule="atLeast"/>
        </w:trPr>
        <w:tc>
          <w:tcPr>
            <w:tcW w:w="362" w:type="pct"/>
            <w:shd w:val="clear" w:color="auto" w:fill="auto"/>
            <w:vAlign w:val="center"/>
          </w:tcPr>
          <w:p w14:paraId="59BC03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916" w:type="pct"/>
            <w:shd w:val="clear" w:color="auto" w:fill="auto"/>
            <w:vAlign w:val="center"/>
          </w:tcPr>
          <w:p w14:paraId="5D9E5C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报关申报服务</w:t>
            </w:r>
            <w:r>
              <w:rPr>
                <w:rFonts w:hint="eastAsia" w:ascii="宋体" w:hAnsi="宋体" w:eastAsia="宋体" w:cs="宋体"/>
                <w:b/>
                <w:bCs/>
                <w:sz w:val="24"/>
                <w:szCs w:val="24"/>
                <w:lang w:val="en-US" w:eastAsia="zh-CN"/>
              </w:rPr>
              <w:t>（评标项3）</w:t>
            </w:r>
          </w:p>
        </w:tc>
        <w:tc>
          <w:tcPr>
            <w:tcW w:w="3721" w:type="pct"/>
            <w:shd w:val="clear" w:color="auto" w:fill="auto"/>
            <w:vAlign w:val="top"/>
          </w:tcPr>
          <w:p w14:paraId="3A6907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实现省平台报关申报系统对接，进出口货物的收发货人、受委托的报关企业以电子数据报关单申报形式向海关报告其进出口货物情况，申请海关审查、放行。服务内容主要包含实现9710、9810出口业务报关模式的报关单申报。接收并查询海关审批状态。</w:t>
            </w:r>
          </w:p>
        </w:tc>
      </w:tr>
      <w:tr w14:paraId="7633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20" w:hRule="atLeast"/>
        </w:trPr>
        <w:tc>
          <w:tcPr>
            <w:tcW w:w="362" w:type="pct"/>
            <w:shd w:val="clear" w:color="auto" w:fill="auto"/>
            <w:vAlign w:val="center"/>
          </w:tcPr>
          <w:p w14:paraId="4E4663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916" w:type="pct"/>
            <w:shd w:val="clear" w:color="auto" w:fill="auto"/>
            <w:vAlign w:val="center"/>
          </w:tcPr>
          <w:p w14:paraId="590F15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跨境电商数据交换服务</w:t>
            </w:r>
            <w:r>
              <w:rPr>
                <w:rFonts w:hint="eastAsia" w:ascii="宋体" w:hAnsi="宋体" w:eastAsia="宋体" w:cs="宋体"/>
                <w:b/>
                <w:bCs/>
                <w:sz w:val="24"/>
                <w:szCs w:val="24"/>
                <w:lang w:val="en-US" w:eastAsia="zh-CN"/>
              </w:rPr>
              <w:t>（评标项4）</w:t>
            </w:r>
          </w:p>
        </w:tc>
        <w:tc>
          <w:tcPr>
            <w:tcW w:w="3721" w:type="pct"/>
            <w:shd w:val="clear" w:color="auto" w:fill="auto"/>
            <w:vAlign w:val="top"/>
          </w:tcPr>
          <w:p w14:paraId="62E061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实现电商企业、物流企业、支付企业与省平台之间实现数据交换，具备数据处理功能，包括分发、处理等功能。同时，为保障传输可靠和高效的性能，支持RabbitMQ、HTTP通讯协议，满足电子口岸制定的相关数据签名、报文校验等功能，进行数据交换。服务内容主要包含申报报文/回执报文数据交换通道管理、日志管理、运维管理功能。实现对申报报文进行加签预处理功能，通过数据交换通道发送申报报文，同时实现接收海关回执报文。</w:t>
            </w:r>
          </w:p>
        </w:tc>
      </w:tr>
      <w:tr w14:paraId="4A31E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905" w:hRule="atLeast"/>
        </w:trPr>
        <w:tc>
          <w:tcPr>
            <w:tcW w:w="362" w:type="pct"/>
            <w:shd w:val="clear" w:color="auto" w:fill="auto"/>
            <w:vAlign w:val="center"/>
          </w:tcPr>
          <w:p w14:paraId="42C55A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7</w:t>
            </w:r>
          </w:p>
        </w:tc>
        <w:tc>
          <w:tcPr>
            <w:tcW w:w="916" w:type="pct"/>
            <w:shd w:val="clear" w:color="auto" w:fill="auto"/>
            <w:vAlign w:val="center"/>
          </w:tcPr>
          <w:p w14:paraId="008DC7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重大活动保障服务</w:t>
            </w:r>
          </w:p>
        </w:tc>
        <w:tc>
          <w:tcPr>
            <w:tcW w:w="3721" w:type="pct"/>
            <w:shd w:val="clear" w:color="auto" w:fill="auto"/>
            <w:vAlign w:val="top"/>
          </w:tcPr>
          <w:p w14:paraId="047897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跨境电商在“6.18”、“双11”等期间均开展大促活动，大促活动期间跨境电商业务激增，是年度跨境电商业务高峰期。期间，跨境电商业务线上申报、线下监管面临巨大的压力，为保障大促活动跨境电商业务平稳顺畅开展，提供宁德市跨境电子商务综合服务平台大促专项保障服务，提高平台服务实时响应及应急处置能力。</w:t>
            </w:r>
          </w:p>
        </w:tc>
      </w:tr>
      <w:tr w14:paraId="63A5B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62" w:type="pct"/>
            <w:shd w:val="clear" w:color="auto" w:fill="auto"/>
            <w:vAlign w:val="center"/>
          </w:tcPr>
          <w:p w14:paraId="50FE7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p>
        </w:tc>
        <w:tc>
          <w:tcPr>
            <w:tcW w:w="916" w:type="pct"/>
            <w:shd w:val="clear" w:color="auto" w:fill="auto"/>
            <w:vAlign w:val="center"/>
          </w:tcPr>
          <w:p w14:paraId="227A9C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单证系统功能与运维服务</w:t>
            </w:r>
          </w:p>
        </w:tc>
        <w:tc>
          <w:tcPr>
            <w:tcW w:w="3721" w:type="pct"/>
            <w:shd w:val="clear" w:color="auto" w:fill="auto"/>
            <w:vAlign w:val="top"/>
          </w:tcPr>
          <w:p w14:paraId="370852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提供单证系统功能服务，包括申报中心、单证管理、导入、电商管理、物流管理、汇总申报、报表中心、基础设置和运维管理，并提供运维服务，保障单证系统的正常运行。</w:t>
            </w:r>
          </w:p>
        </w:tc>
      </w:tr>
      <w:tr w14:paraId="57272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90" w:hRule="atLeast"/>
        </w:trPr>
        <w:tc>
          <w:tcPr>
            <w:tcW w:w="362" w:type="pct"/>
            <w:shd w:val="clear" w:color="auto" w:fill="auto"/>
            <w:vAlign w:val="center"/>
          </w:tcPr>
          <w:p w14:paraId="2E888A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9</w:t>
            </w:r>
          </w:p>
        </w:tc>
        <w:tc>
          <w:tcPr>
            <w:tcW w:w="916" w:type="pct"/>
            <w:shd w:val="clear" w:color="auto" w:fill="auto"/>
            <w:vAlign w:val="center"/>
          </w:tcPr>
          <w:p w14:paraId="3C999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运营保障服务</w:t>
            </w:r>
          </w:p>
        </w:tc>
        <w:tc>
          <w:tcPr>
            <w:tcW w:w="3721" w:type="pct"/>
            <w:shd w:val="clear" w:color="auto" w:fill="auto"/>
            <w:vAlign w:val="top"/>
          </w:tcPr>
          <w:p w14:paraId="00F69F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both"/>
              <w:rPr>
                <w:rFonts w:hint="eastAsia" w:ascii="宋体" w:hAnsi="宋体" w:eastAsia="宋体" w:cs="宋体"/>
                <w:sz w:val="24"/>
                <w:szCs w:val="24"/>
              </w:rPr>
            </w:pPr>
            <w:r>
              <w:rPr>
                <w:rFonts w:hint="eastAsia" w:ascii="宋体" w:hAnsi="宋体" w:eastAsia="宋体" w:cs="宋体"/>
                <w:sz w:val="24"/>
                <w:szCs w:val="24"/>
                <w:lang w:val="en-US" w:eastAsia="zh-CN"/>
              </w:rPr>
              <w:t>提供运营保障服务，含用户服务、企业配置、系统安全、按总署规划升级、培训等。包含提供快速响应的技术支持服务，配置用户信息和权限，引导企业ERP系统与单证系统的对接，实施网络端口安全配置，根据总署业务升级提供对应的功能升级，为用户提供系统操作、功能使用、常见问题解决等方面的培训。</w:t>
            </w:r>
          </w:p>
        </w:tc>
      </w:tr>
    </w:tbl>
    <w:p w14:paraId="06D07C8D">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4.5跨境业务支撑服务</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11"/>
        <w:gridCol w:w="1800"/>
        <w:gridCol w:w="7314"/>
      </w:tblGrid>
      <w:tr w14:paraId="494679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330" w:hRule="atLeast"/>
        </w:trPr>
        <w:tc>
          <w:tcPr>
            <w:tcW w:w="362" w:type="pct"/>
            <w:vMerge w:val="restart"/>
            <w:shd w:val="clear" w:color="auto" w:fill="FFFFFF" w:themeFill="background1"/>
            <w:vAlign w:val="center"/>
          </w:tcPr>
          <w:p w14:paraId="60B2CF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916" w:type="pct"/>
            <w:vMerge w:val="restart"/>
            <w:shd w:val="clear" w:color="auto" w:fill="FFFFFF" w:themeFill="background1"/>
            <w:vAlign w:val="center"/>
          </w:tcPr>
          <w:p w14:paraId="6C6562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3721" w:type="pct"/>
            <w:vMerge w:val="restart"/>
            <w:shd w:val="clear" w:color="auto" w:fill="FFFFFF" w:themeFill="background1"/>
            <w:vAlign w:val="center"/>
          </w:tcPr>
          <w:p w14:paraId="3FB366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二级功能</w:t>
            </w:r>
          </w:p>
        </w:tc>
      </w:tr>
      <w:tr w14:paraId="33291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2" w:type="pct"/>
            <w:vMerge w:val="continue"/>
            <w:shd w:val="clear" w:color="auto" w:fill="FFFFFF" w:themeFill="background1"/>
            <w:vAlign w:val="center"/>
          </w:tcPr>
          <w:p w14:paraId="7F0046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916" w:type="pct"/>
            <w:vMerge w:val="continue"/>
            <w:shd w:val="clear" w:color="auto" w:fill="FFFFFF" w:themeFill="background1"/>
            <w:vAlign w:val="center"/>
          </w:tcPr>
          <w:p w14:paraId="2B5815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3721" w:type="pct"/>
            <w:vMerge w:val="continue"/>
            <w:shd w:val="clear" w:color="auto" w:fill="FFFFFF" w:themeFill="background1"/>
            <w:vAlign w:val="center"/>
          </w:tcPr>
          <w:p w14:paraId="755A07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r>
      <w:tr w14:paraId="13B66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535" w:hRule="atLeast"/>
        </w:trPr>
        <w:tc>
          <w:tcPr>
            <w:tcW w:w="362" w:type="pct"/>
            <w:shd w:val="clear" w:color="auto" w:fill="auto"/>
            <w:vAlign w:val="center"/>
          </w:tcPr>
          <w:p w14:paraId="32D8B2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916" w:type="pct"/>
            <w:shd w:val="clear" w:color="auto" w:fill="auto"/>
            <w:vAlign w:val="center"/>
          </w:tcPr>
          <w:p w14:paraId="126F32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业务咨询服务</w:t>
            </w:r>
          </w:p>
        </w:tc>
        <w:tc>
          <w:tcPr>
            <w:tcW w:w="3721" w:type="pct"/>
            <w:shd w:val="clear" w:color="auto" w:fill="auto"/>
            <w:vAlign w:val="center"/>
          </w:tcPr>
          <w:p w14:paraId="1A14B3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根据不同企业、不同角色（进出口企业、跨境电商企业、物流企业等）的具体情况，做好跨境电商相关监管、通关业务政策、地方政策的辅导、咨询，辅导企业做好业务开展准备，如跨境电商整体业务介绍、政策法规、企业备案、办事流程等辅导，为企业提供9610进出口、1210进出口、9710/9810出口全模式的业务开展相关资质、流程、条件等全方位业务咨询服务。</w:t>
            </w:r>
          </w:p>
        </w:tc>
      </w:tr>
      <w:tr w14:paraId="4819A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2" w:hRule="atLeast"/>
        </w:trPr>
        <w:tc>
          <w:tcPr>
            <w:tcW w:w="362" w:type="pct"/>
            <w:shd w:val="clear" w:color="auto" w:fill="auto"/>
            <w:vAlign w:val="center"/>
          </w:tcPr>
          <w:p w14:paraId="1FBF13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916" w:type="pct"/>
            <w:shd w:val="clear" w:color="auto" w:fill="auto"/>
            <w:vAlign w:val="center"/>
          </w:tcPr>
          <w:p w14:paraId="15C706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落地咨询服务</w:t>
            </w:r>
          </w:p>
        </w:tc>
        <w:tc>
          <w:tcPr>
            <w:tcW w:w="3721" w:type="pct"/>
            <w:shd w:val="clear" w:color="auto" w:fill="auto"/>
            <w:vAlign w:val="center"/>
          </w:tcPr>
          <w:p w14:paraId="011801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为企业提供业务接入前置服务，帮助企业顺利完成电子口岸入网申请、事前线上及线下备案、账号注册申请等准备事项。为企业提供业务咨询服务，包括各大业务模式的开展流程及业务申报相关操作等。指导企业完成DXPID申请材料填写，接收企业申请材料并做真实性、准确性审核及背书，再向中国电子口岸数据中心福州分中心发起申请，简化企业申请手续，降低申请资料填写返工率，缩短企业DXPID的申请时效。</w:t>
            </w:r>
          </w:p>
        </w:tc>
      </w:tr>
      <w:tr w14:paraId="2E982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275" w:hRule="atLeast"/>
        </w:trPr>
        <w:tc>
          <w:tcPr>
            <w:tcW w:w="362" w:type="pct"/>
            <w:shd w:val="clear" w:color="auto" w:fill="auto"/>
            <w:vAlign w:val="center"/>
          </w:tcPr>
          <w:p w14:paraId="3F838D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916" w:type="pct"/>
            <w:shd w:val="clear" w:color="auto" w:fill="auto"/>
            <w:vAlign w:val="center"/>
          </w:tcPr>
          <w:p w14:paraId="32CB4D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接入指导服务</w:t>
            </w:r>
          </w:p>
        </w:tc>
        <w:tc>
          <w:tcPr>
            <w:tcW w:w="3721" w:type="pct"/>
            <w:shd w:val="clear" w:color="auto" w:fill="auto"/>
            <w:vAlign w:val="center"/>
          </w:tcPr>
          <w:p w14:paraId="5F4528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DXPID申请下发后，引导企业准确填写该页面上的所有信息，完善提交平台资料，完成平台权限申请，引导企业登录进入系统做相应申报操作,为企业提供接入注意事项及相关的操作参考材料。</w:t>
            </w:r>
          </w:p>
        </w:tc>
      </w:tr>
      <w:tr w14:paraId="301D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5" w:hRule="atLeast"/>
        </w:trPr>
        <w:tc>
          <w:tcPr>
            <w:tcW w:w="362" w:type="pct"/>
            <w:shd w:val="clear" w:color="auto" w:fill="auto"/>
            <w:vAlign w:val="center"/>
          </w:tcPr>
          <w:p w14:paraId="3EE0F6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916" w:type="pct"/>
            <w:shd w:val="clear" w:color="auto" w:fill="auto"/>
            <w:vAlign w:val="center"/>
          </w:tcPr>
          <w:p w14:paraId="7349DB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技术保障服务</w:t>
            </w:r>
          </w:p>
        </w:tc>
        <w:tc>
          <w:tcPr>
            <w:tcW w:w="3721" w:type="pct"/>
            <w:shd w:val="clear" w:color="auto" w:fill="auto"/>
            <w:vAlign w:val="center"/>
          </w:tcPr>
          <w:p w14:paraId="005C43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接收到中国电子口岸数据中心福州分中心下发的企业DXPID信息后，完成企业通道队列配置及数据交换节点配置工作，联系企业及客户端第三方服务商进行客户端安装及配置文件修改并完成授权。配合企业与跨境省平台进行对接联调，并进行报文测试工作，协助企业完成业务落地。</w:t>
            </w:r>
          </w:p>
        </w:tc>
      </w:tr>
      <w:tr w14:paraId="3357B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50" w:hRule="atLeast"/>
        </w:trPr>
        <w:tc>
          <w:tcPr>
            <w:tcW w:w="362" w:type="pct"/>
            <w:shd w:val="clear" w:color="auto" w:fill="auto"/>
            <w:vAlign w:val="center"/>
          </w:tcPr>
          <w:p w14:paraId="1F23BD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916" w:type="pct"/>
            <w:shd w:val="clear" w:color="auto" w:fill="auto"/>
            <w:vAlign w:val="center"/>
          </w:tcPr>
          <w:p w14:paraId="6CE196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客服热线服务</w:t>
            </w:r>
          </w:p>
        </w:tc>
        <w:tc>
          <w:tcPr>
            <w:tcW w:w="3721" w:type="pct"/>
            <w:shd w:val="clear" w:color="auto" w:fill="auto"/>
            <w:vAlign w:val="center"/>
          </w:tcPr>
          <w:p w14:paraId="24EB6D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为宁德跨境电商企业提供统一客服热线服务，配备全职、专业的客户服务团队，提供7*24小时语音热线、QQ、微信、门户在线等多条反馈渠道。面向所有接入平台企业，组建“跨境公服业务公告”微信群，及时更新群公告信息，实现联动。处理来自宁德跨境电商企业日常业务开展过程中遇到的各类问题，进行常规问题解答、疑难问题跟踪反馈，并针对各类问题做归类汇总，建立共享知识库，提高企业问题处理时效并优化用户体验感。</w:t>
            </w:r>
          </w:p>
        </w:tc>
      </w:tr>
    </w:tbl>
    <w:p w14:paraId="6A9E6E77">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4.6统计与展示系统</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23"/>
        <w:gridCol w:w="1775"/>
        <w:gridCol w:w="7327"/>
      </w:tblGrid>
      <w:tr w14:paraId="2165B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68" w:type="pct"/>
            <w:shd w:val="clear" w:color="auto" w:fill="FFFFFF" w:themeFill="background1"/>
            <w:vAlign w:val="center"/>
          </w:tcPr>
          <w:p w14:paraId="35D7B3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903" w:type="pct"/>
            <w:shd w:val="clear" w:color="auto" w:fill="FFFFFF" w:themeFill="background1"/>
            <w:vAlign w:val="center"/>
          </w:tcPr>
          <w:p w14:paraId="583A54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一级功能</w:t>
            </w:r>
          </w:p>
        </w:tc>
        <w:tc>
          <w:tcPr>
            <w:tcW w:w="3727" w:type="pct"/>
            <w:shd w:val="clear" w:color="auto" w:fill="FFFFFF" w:themeFill="background1"/>
            <w:vAlign w:val="center"/>
          </w:tcPr>
          <w:p w14:paraId="2B446D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二级功能</w:t>
            </w:r>
          </w:p>
        </w:tc>
      </w:tr>
      <w:tr w14:paraId="434D6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68" w:type="pct"/>
            <w:shd w:val="clear" w:color="auto" w:fill="auto"/>
            <w:vAlign w:val="center"/>
          </w:tcPr>
          <w:p w14:paraId="1BA58F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903" w:type="pct"/>
            <w:vMerge w:val="restart"/>
            <w:shd w:val="clear" w:color="auto" w:fill="auto"/>
            <w:vAlign w:val="center"/>
          </w:tcPr>
          <w:p w14:paraId="4DF3C7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跨境商品排名</w:t>
            </w:r>
          </w:p>
        </w:tc>
        <w:tc>
          <w:tcPr>
            <w:tcW w:w="3727" w:type="pct"/>
            <w:shd w:val="clear" w:color="auto" w:fill="auto"/>
            <w:vAlign w:val="center"/>
          </w:tcPr>
          <w:p w14:paraId="7DD97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进口商品排名前十统计</w:t>
            </w:r>
          </w:p>
        </w:tc>
      </w:tr>
      <w:tr w14:paraId="5490E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68" w:type="pct"/>
            <w:shd w:val="clear" w:color="auto" w:fill="auto"/>
            <w:vAlign w:val="center"/>
          </w:tcPr>
          <w:p w14:paraId="559D05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903" w:type="pct"/>
            <w:vMerge w:val="continue"/>
            <w:shd w:val="clear" w:color="auto" w:fill="auto"/>
            <w:vAlign w:val="center"/>
          </w:tcPr>
          <w:p w14:paraId="4C4A3F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599680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出口商品排名前十统计</w:t>
            </w:r>
          </w:p>
        </w:tc>
      </w:tr>
      <w:tr w14:paraId="50E87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8" w:type="pct"/>
            <w:shd w:val="clear" w:color="auto" w:fill="auto"/>
            <w:vAlign w:val="center"/>
          </w:tcPr>
          <w:p w14:paraId="6D366E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903" w:type="pct"/>
            <w:vMerge w:val="continue"/>
            <w:shd w:val="clear" w:color="auto" w:fill="auto"/>
            <w:vAlign w:val="center"/>
          </w:tcPr>
          <w:p w14:paraId="7AE430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2430B3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交易额统计</w:t>
            </w:r>
          </w:p>
        </w:tc>
      </w:tr>
      <w:tr w14:paraId="2D1437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8" w:type="pct"/>
            <w:shd w:val="clear" w:color="auto" w:fill="auto"/>
            <w:vAlign w:val="center"/>
          </w:tcPr>
          <w:p w14:paraId="5CC556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903" w:type="pct"/>
            <w:vMerge w:val="continue"/>
            <w:shd w:val="clear" w:color="auto" w:fill="auto"/>
            <w:vAlign w:val="center"/>
          </w:tcPr>
          <w:p w14:paraId="326844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07E6BB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业务量统计</w:t>
            </w:r>
          </w:p>
        </w:tc>
      </w:tr>
      <w:tr w14:paraId="43BF8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079692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903" w:type="pct"/>
            <w:vMerge w:val="continue"/>
            <w:shd w:val="clear" w:color="auto" w:fill="auto"/>
            <w:vAlign w:val="center"/>
          </w:tcPr>
          <w:p w14:paraId="30F903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3D800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监管方式交易额统计</w:t>
            </w:r>
          </w:p>
        </w:tc>
      </w:tr>
      <w:tr w14:paraId="52662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0AFE95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903" w:type="pct"/>
            <w:vMerge w:val="continue"/>
            <w:shd w:val="clear" w:color="auto" w:fill="auto"/>
            <w:vAlign w:val="center"/>
          </w:tcPr>
          <w:p w14:paraId="16CDF2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3CF559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监管方式业务量统计</w:t>
            </w:r>
          </w:p>
        </w:tc>
      </w:tr>
      <w:tr w14:paraId="44763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72837F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903" w:type="pct"/>
            <w:vMerge w:val="restart"/>
            <w:shd w:val="clear" w:color="auto" w:fill="auto"/>
            <w:vAlign w:val="center"/>
          </w:tcPr>
          <w:p w14:paraId="0EEF98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宁德监管场所统计</w:t>
            </w:r>
          </w:p>
        </w:tc>
        <w:tc>
          <w:tcPr>
            <w:tcW w:w="3727" w:type="pct"/>
            <w:shd w:val="clear" w:color="auto" w:fill="auto"/>
            <w:vAlign w:val="center"/>
          </w:tcPr>
          <w:p w14:paraId="6A7B86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监管场所交易额统计</w:t>
            </w:r>
          </w:p>
        </w:tc>
      </w:tr>
      <w:tr w14:paraId="5A04E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47ECC7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903" w:type="pct"/>
            <w:vMerge w:val="continue"/>
            <w:shd w:val="clear" w:color="auto" w:fill="auto"/>
            <w:vAlign w:val="center"/>
          </w:tcPr>
          <w:p w14:paraId="657FE3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7A52CB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监管场所业务量统计</w:t>
            </w:r>
          </w:p>
        </w:tc>
      </w:tr>
      <w:tr w14:paraId="61A9C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2C0721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903" w:type="pct"/>
            <w:vMerge w:val="continue"/>
            <w:shd w:val="clear" w:color="auto" w:fill="auto"/>
            <w:vAlign w:val="center"/>
          </w:tcPr>
          <w:p w14:paraId="7F31D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1C7D21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电商企业情况</w:t>
            </w:r>
          </w:p>
        </w:tc>
      </w:tr>
      <w:tr w14:paraId="0C24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1F13E0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903" w:type="pct"/>
            <w:vMerge w:val="restart"/>
            <w:shd w:val="clear" w:color="auto" w:fill="auto"/>
            <w:vAlign w:val="center"/>
          </w:tcPr>
          <w:p w14:paraId="22811B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宁德跨境企业统计</w:t>
            </w:r>
          </w:p>
        </w:tc>
        <w:tc>
          <w:tcPr>
            <w:tcW w:w="3727" w:type="pct"/>
            <w:shd w:val="clear" w:color="auto" w:fill="auto"/>
            <w:vAlign w:val="center"/>
          </w:tcPr>
          <w:p w14:paraId="600606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跨境企业交易额统计</w:t>
            </w:r>
          </w:p>
        </w:tc>
      </w:tr>
      <w:tr w14:paraId="344DC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1D7011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903" w:type="pct"/>
            <w:vMerge w:val="continue"/>
            <w:shd w:val="clear" w:color="auto" w:fill="auto"/>
            <w:vAlign w:val="center"/>
          </w:tcPr>
          <w:p w14:paraId="4D01A5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1649BC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跨境企业业务量统计</w:t>
            </w:r>
          </w:p>
        </w:tc>
      </w:tr>
      <w:tr w14:paraId="63D08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015E83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903" w:type="pct"/>
            <w:vMerge w:val="restart"/>
            <w:shd w:val="clear" w:color="auto" w:fill="auto"/>
            <w:vAlign w:val="center"/>
          </w:tcPr>
          <w:p w14:paraId="3AFE89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宁德全市统计</w:t>
            </w:r>
          </w:p>
        </w:tc>
        <w:tc>
          <w:tcPr>
            <w:tcW w:w="3727" w:type="pct"/>
            <w:shd w:val="clear" w:color="auto" w:fill="auto"/>
            <w:vAlign w:val="center"/>
          </w:tcPr>
          <w:p w14:paraId="1019A7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全市交易额统计</w:t>
            </w:r>
          </w:p>
        </w:tc>
      </w:tr>
      <w:tr w14:paraId="69807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03CCC9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903" w:type="pct"/>
            <w:vMerge w:val="continue"/>
            <w:shd w:val="clear" w:color="auto" w:fill="auto"/>
            <w:vAlign w:val="center"/>
          </w:tcPr>
          <w:p w14:paraId="56F35A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641FDE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全市业务量统计</w:t>
            </w:r>
          </w:p>
        </w:tc>
      </w:tr>
      <w:tr w14:paraId="4515C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8" w:type="pct"/>
            <w:shd w:val="clear" w:color="auto" w:fill="auto"/>
            <w:vAlign w:val="center"/>
          </w:tcPr>
          <w:p w14:paraId="27E887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903" w:type="pct"/>
            <w:vMerge w:val="restart"/>
            <w:shd w:val="clear" w:color="auto" w:fill="auto"/>
            <w:vAlign w:val="center"/>
          </w:tcPr>
          <w:p w14:paraId="657C58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宁德企业报关单统计</w:t>
            </w:r>
          </w:p>
        </w:tc>
        <w:tc>
          <w:tcPr>
            <w:tcW w:w="3727" w:type="pct"/>
            <w:shd w:val="clear" w:color="auto" w:fill="auto"/>
            <w:vAlign w:val="center"/>
          </w:tcPr>
          <w:p w14:paraId="0A71C9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企业报关单统计</w:t>
            </w:r>
          </w:p>
        </w:tc>
      </w:tr>
      <w:tr w14:paraId="610DD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63E18D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903" w:type="pct"/>
            <w:vMerge w:val="continue"/>
            <w:shd w:val="clear" w:color="auto" w:fill="auto"/>
            <w:vAlign w:val="center"/>
          </w:tcPr>
          <w:p w14:paraId="19044D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28C3A1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企业贸易额统计</w:t>
            </w:r>
          </w:p>
        </w:tc>
      </w:tr>
      <w:tr w14:paraId="30460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2F2FC5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903" w:type="pct"/>
            <w:vMerge w:val="continue"/>
            <w:shd w:val="clear" w:color="auto" w:fill="auto"/>
            <w:vAlign w:val="center"/>
          </w:tcPr>
          <w:p w14:paraId="74945C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071132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企业贸易额波动统计</w:t>
            </w:r>
          </w:p>
        </w:tc>
      </w:tr>
      <w:tr w14:paraId="7EF8F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7AAA4C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903" w:type="pct"/>
            <w:vMerge w:val="continue"/>
            <w:shd w:val="clear" w:color="auto" w:fill="auto"/>
            <w:vAlign w:val="center"/>
          </w:tcPr>
          <w:p w14:paraId="69EBEA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7C6D28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贸易趋势分析</w:t>
            </w:r>
          </w:p>
        </w:tc>
      </w:tr>
      <w:tr w14:paraId="019A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2BA304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903" w:type="pct"/>
            <w:vMerge w:val="restart"/>
            <w:shd w:val="clear" w:color="auto" w:fill="auto"/>
            <w:vAlign w:val="center"/>
          </w:tcPr>
          <w:p w14:paraId="5EB80F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国别(地区)统计</w:t>
            </w:r>
          </w:p>
        </w:tc>
        <w:tc>
          <w:tcPr>
            <w:tcW w:w="3727" w:type="pct"/>
            <w:shd w:val="clear" w:color="auto" w:fill="auto"/>
            <w:vAlign w:val="center"/>
          </w:tcPr>
          <w:p w14:paraId="4F847D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各国报关单统计</w:t>
            </w:r>
          </w:p>
        </w:tc>
      </w:tr>
      <w:tr w14:paraId="14D64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8" w:type="pct"/>
            <w:shd w:val="clear" w:color="auto" w:fill="auto"/>
            <w:vAlign w:val="center"/>
          </w:tcPr>
          <w:p w14:paraId="2F67C2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903" w:type="pct"/>
            <w:vMerge w:val="continue"/>
            <w:shd w:val="clear" w:color="auto" w:fill="auto"/>
            <w:vAlign w:val="center"/>
          </w:tcPr>
          <w:p w14:paraId="031D0C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79334D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各国贸易额统计</w:t>
            </w:r>
          </w:p>
        </w:tc>
      </w:tr>
      <w:tr w14:paraId="30414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686D21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903" w:type="pct"/>
            <w:vMerge w:val="continue"/>
            <w:shd w:val="clear" w:color="auto" w:fill="auto"/>
            <w:vAlign w:val="center"/>
          </w:tcPr>
          <w:p w14:paraId="6BD03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32ABB7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各国业务量统计</w:t>
            </w:r>
          </w:p>
        </w:tc>
      </w:tr>
      <w:tr w14:paraId="539B7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8" w:type="pct"/>
            <w:shd w:val="clear" w:color="auto" w:fill="auto"/>
            <w:vAlign w:val="center"/>
          </w:tcPr>
          <w:p w14:paraId="14CE7C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903" w:type="pct"/>
            <w:vMerge w:val="restart"/>
            <w:shd w:val="clear" w:color="auto" w:fill="auto"/>
            <w:vAlign w:val="center"/>
          </w:tcPr>
          <w:p w14:paraId="094BE7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国别(地区)排行</w:t>
            </w:r>
          </w:p>
        </w:tc>
        <w:tc>
          <w:tcPr>
            <w:tcW w:w="3727" w:type="pct"/>
            <w:shd w:val="clear" w:color="auto" w:fill="auto"/>
            <w:vAlign w:val="center"/>
          </w:tcPr>
          <w:p w14:paraId="1F1936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各国交易额排行</w:t>
            </w:r>
          </w:p>
        </w:tc>
      </w:tr>
      <w:tr w14:paraId="3F624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8" w:type="pct"/>
            <w:shd w:val="clear" w:color="auto" w:fill="auto"/>
            <w:vAlign w:val="center"/>
          </w:tcPr>
          <w:p w14:paraId="453CA7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903" w:type="pct"/>
            <w:vMerge w:val="continue"/>
            <w:shd w:val="clear" w:color="auto" w:fill="auto"/>
            <w:vAlign w:val="center"/>
          </w:tcPr>
          <w:p w14:paraId="560EE9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16A7E6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各国业务量排行</w:t>
            </w:r>
          </w:p>
        </w:tc>
      </w:tr>
      <w:tr w14:paraId="768C4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6C6D5D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903" w:type="pct"/>
            <w:vMerge w:val="restart"/>
            <w:shd w:val="clear" w:color="auto" w:fill="auto"/>
            <w:vAlign w:val="center"/>
          </w:tcPr>
          <w:p w14:paraId="5330CA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大屏综合展示</w:t>
            </w:r>
          </w:p>
        </w:tc>
        <w:tc>
          <w:tcPr>
            <w:tcW w:w="3727" w:type="pct"/>
            <w:shd w:val="clear" w:color="auto" w:fill="auto"/>
            <w:vAlign w:val="center"/>
          </w:tcPr>
          <w:p w14:paraId="223EBA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综试区建设情况</w:t>
            </w:r>
          </w:p>
        </w:tc>
      </w:tr>
      <w:tr w14:paraId="58C865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10C10D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903" w:type="pct"/>
            <w:vMerge w:val="continue"/>
            <w:shd w:val="clear" w:color="auto" w:fill="auto"/>
            <w:vAlign w:val="center"/>
          </w:tcPr>
          <w:p w14:paraId="55EA9B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66AC0D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跨境电商业务情况</w:t>
            </w:r>
          </w:p>
        </w:tc>
      </w:tr>
      <w:tr w14:paraId="2635B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68" w:type="pct"/>
            <w:shd w:val="clear" w:color="auto" w:fill="auto"/>
            <w:vAlign w:val="center"/>
          </w:tcPr>
          <w:p w14:paraId="18845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27</w:t>
            </w:r>
          </w:p>
        </w:tc>
        <w:tc>
          <w:tcPr>
            <w:tcW w:w="903" w:type="pct"/>
            <w:vMerge w:val="continue"/>
            <w:shd w:val="clear" w:color="auto" w:fill="auto"/>
            <w:vAlign w:val="center"/>
          </w:tcPr>
          <w:p w14:paraId="58A08A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5B4A74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跨境电商统计数据</w:t>
            </w:r>
          </w:p>
        </w:tc>
      </w:tr>
      <w:tr w14:paraId="6457F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6974BA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28</w:t>
            </w:r>
          </w:p>
        </w:tc>
        <w:tc>
          <w:tcPr>
            <w:tcW w:w="903" w:type="pct"/>
            <w:vMerge w:val="restart"/>
            <w:shd w:val="clear" w:color="auto" w:fill="auto"/>
            <w:vAlign w:val="center"/>
          </w:tcPr>
          <w:p w14:paraId="7323B7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系统管理</w:t>
            </w:r>
          </w:p>
        </w:tc>
        <w:tc>
          <w:tcPr>
            <w:tcW w:w="3727" w:type="pct"/>
            <w:shd w:val="clear" w:color="auto" w:fill="auto"/>
            <w:vAlign w:val="center"/>
          </w:tcPr>
          <w:p w14:paraId="23409F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配置管理</w:t>
            </w:r>
          </w:p>
        </w:tc>
      </w:tr>
      <w:tr w14:paraId="1874C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5E6579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w:t>
            </w:r>
          </w:p>
        </w:tc>
        <w:tc>
          <w:tcPr>
            <w:tcW w:w="903" w:type="pct"/>
            <w:vMerge w:val="continue"/>
            <w:shd w:val="clear" w:color="auto" w:fill="auto"/>
            <w:vAlign w:val="center"/>
          </w:tcPr>
          <w:p w14:paraId="70B29D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0BFF3E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数据接口对接</w:t>
            </w:r>
          </w:p>
        </w:tc>
      </w:tr>
      <w:tr w14:paraId="39B76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260AB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903" w:type="pct"/>
            <w:vMerge w:val="continue"/>
            <w:shd w:val="clear" w:color="auto" w:fill="auto"/>
            <w:vAlign w:val="center"/>
          </w:tcPr>
          <w:p w14:paraId="40F772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0E66C0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数据采集汇聚</w:t>
            </w:r>
          </w:p>
        </w:tc>
      </w:tr>
      <w:tr w14:paraId="1C8C3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68" w:type="pct"/>
            <w:shd w:val="clear" w:color="auto" w:fill="auto"/>
            <w:vAlign w:val="center"/>
          </w:tcPr>
          <w:p w14:paraId="4AF14C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31</w:t>
            </w:r>
          </w:p>
        </w:tc>
        <w:tc>
          <w:tcPr>
            <w:tcW w:w="903" w:type="pct"/>
            <w:vMerge w:val="continue"/>
            <w:shd w:val="clear" w:color="auto" w:fill="auto"/>
            <w:vAlign w:val="center"/>
          </w:tcPr>
          <w:p w14:paraId="6663F0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1CC2A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数据加工处理</w:t>
            </w:r>
          </w:p>
        </w:tc>
      </w:tr>
      <w:tr w14:paraId="5B19C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5" w:hRule="atLeast"/>
        </w:trPr>
        <w:tc>
          <w:tcPr>
            <w:tcW w:w="368" w:type="pct"/>
            <w:shd w:val="clear" w:color="auto" w:fill="auto"/>
            <w:vAlign w:val="center"/>
          </w:tcPr>
          <w:p w14:paraId="29344F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32</w:t>
            </w:r>
          </w:p>
        </w:tc>
        <w:tc>
          <w:tcPr>
            <w:tcW w:w="903" w:type="pct"/>
            <w:vMerge w:val="continue"/>
            <w:shd w:val="clear" w:color="auto" w:fill="auto"/>
            <w:vAlign w:val="center"/>
          </w:tcPr>
          <w:p w14:paraId="2710E8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6E6061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过程数据存储</w:t>
            </w:r>
          </w:p>
        </w:tc>
      </w:tr>
      <w:tr w14:paraId="4A2E2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68" w:type="pct"/>
            <w:shd w:val="clear" w:color="auto" w:fill="auto"/>
            <w:vAlign w:val="center"/>
          </w:tcPr>
          <w:p w14:paraId="37A93C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33</w:t>
            </w:r>
          </w:p>
        </w:tc>
        <w:tc>
          <w:tcPr>
            <w:tcW w:w="903" w:type="pct"/>
            <w:vMerge w:val="continue"/>
            <w:shd w:val="clear" w:color="auto" w:fill="auto"/>
            <w:vAlign w:val="center"/>
          </w:tcPr>
          <w:p w14:paraId="7B05E0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rPr>
                <w:rFonts w:hint="eastAsia" w:ascii="宋体" w:hAnsi="宋体" w:eastAsia="宋体" w:cs="宋体"/>
                <w:i w:val="0"/>
                <w:iCs w:val="0"/>
                <w:color w:val="000000"/>
                <w:sz w:val="24"/>
                <w:szCs w:val="24"/>
                <w:u w:val="none"/>
              </w:rPr>
            </w:pPr>
          </w:p>
        </w:tc>
        <w:tc>
          <w:tcPr>
            <w:tcW w:w="3727" w:type="pct"/>
            <w:shd w:val="clear" w:color="auto" w:fill="auto"/>
            <w:vAlign w:val="center"/>
          </w:tcPr>
          <w:p w14:paraId="75F8AA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textAlignment w:val="top"/>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数据状态监控</w:t>
            </w:r>
          </w:p>
        </w:tc>
      </w:tr>
    </w:tbl>
    <w:p w14:paraId="17A094D7">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4.7场站管理系统</w:t>
      </w:r>
      <w:r>
        <w:rPr>
          <w:rFonts w:hint="eastAsia" w:ascii="宋体" w:hAnsi="宋体" w:eastAsia="宋体" w:cs="宋体"/>
          <w:b/>
          <w:bCs/>
          <w:sz w:val="24"/>
          <w:szCs w:val="24"/>
          <w:lang w:val="en-US" w:eastAsia="zh-CN"/>
        </w:rPr>
        <w:t>（评标项5）</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33"/>
        <w:gridCol w:w="1775"/>
        <w:gridCol w:w="2176"/>
        <w:gridCol w:w="5141"/>
      </w:tblGrid>
      <w:tr w14:paraId="40889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73" w:type="pct"/>
            <w:shd w:val="clear" w:color="auto" w:fill="FFFFFF" w:themeFill="background1"/>
            <w:vAlign w:val="center"/>
          </w:tcPr>
          <w:p w14:paraId="13B973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shd w:val="clear" w:color="auto" w:fill="auto"/>
              </w:rPr>
            </w:pPr>
            <w:r>
              <w:rPr>
                <w:rFonts w:hint="eastAsia" w:ascii="宋体" w:hAnsi="宋体" w:eastAsia="宋体" w:cs="宋体"/>
                <w:b/>
                <w:bCs/>
                <w:sz w:val="24"/>
                <w:szCs w:val="24"/>
                <w:shd w:val="clear" w:color="auto" w:fill="auto"/>
                <w:lang w:val="en-US" w:eastAsia="zh-CN"/>
              </w:rPr>
              <w:t>序号</w:t>
            </w:r>
          </w:p>
        </w:tc>
        <w:tc>
          <w:tcPr>
            <w:tcW w:w="903" w:type="pct"/>
            <w:shd w:val="clear" w:color="auto" w:fill="FFFFFF" w:themeFill="background1"/>
            <w:vAlign w:val="center"/>
          </w:tcPr>
          <w:p w14:paraId="28AD2B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shd w:val="clear" w:color="auto" w:fill="auto"/>
              </w:rPr>
            </w:pPr>
            <w:r>
              <w:rPr>
                <w:rFonts w:hint="eastAsia" w:ascii="宋体" w:hAnsi="宋体" w:eastAsia="宋体" w:cs="宋体"/>
                <w:b/>
                <w:bCs/>
                <w:sz w:val="24"/>
                <w:szCs w:val="24"/>
                <w:shd w:val="clear" w:color="auto" w:fill="auto"/>
                <w:lang w:val="en-US" w:eastAsia="zh-CN"/>
              </w:rPr>
              <w:t>一级功能</w:t>
            </w:r>
          </w:p>
        </w:tc>
        <w:tc>
          <w:tcPr>
            <w:tcW w:w="1107" w:type="pct"/>
            <w:shd w:val="clear" w:color="auto" w:fill="FFFFFF" w:themeFill="background1"/>
            <w:vAlign w:val="center"/>
          </w:tcPr>
          <w:p w14:paraId="420917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shd w:val="clear" w:color="auto" w:fill="auto"/>
              </w:rPr>
            </w:pPr>
            <w:r>
              <w:rPr>
                <w:rFonts w:hint="eastAsia" w:ascii="宋体" w:hAnsi="宋体" w:eastAsia="宋体" w:cs="宋体"/>
                <w:b/>
                <w:bCs/>
                <w:sz w:val="24"/>
                <w:szCs w:val="24"/>
                <w:shd w:val="clear" w:color="auto" w:fill="auto"/>
                <w:lang w:val="en-US" w:eastAsia="zh-CN"/>
              </w:rPr>
              <w:t>二级功能</w:t>
            </w:r>
          </w:p>
        </w:tc>
        <w:tc>
          <w:tcPr>
            <w:tcW w:w="2615" w:type="pct"/>
            <w:shd w:val="clear" w:color="auto" w:fill="FFFFFF" w:themeFill="background1"/>
            <w:vAlign w:val="center"/>
          </w:tcPr>
          <w:p w14:paraId="4E7281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shd w:val="clear" w:color="auto" w:fill="auto"/>
              </w:rPr>
            </w:pPr>
            <w:r>
              <w:rPr>
                <w:rFonts w:hint="eastAsia" w:ascii="宋体" w:hAnsi="宋体" w:eastAsia="宋体" w:cs="宋体"/>
                <w:b/>
                <w:bCs/>
                <w:sz w:val="24"/>
                <w:szCs w:val="24"/>
                <w:shd w:val="clear" w:color="auto" w:fill="auto"/>
                <w:lang w:val="en-US" w:eastAsia="zh-CN"/>
              </w:rPr>
              <w:t>说明</w:t>
            </w:r>
          </w:p>
        </w:tc>
      </w:tr>
      <w:tr w14:paraId="3E594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73" w:type="pct"/>
            <w:shd w:val="clear" w:color="auto" w:fill="auto"/>
            <w:vAlign w:val="center"/>
          </w:tcPr>
          <w:p w14:paraId="499E1C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903" w:type="pct"/>
            <w:shd w:val="clear" w:color="auto" w:fill="auto"/>
            <w:vAlign w:val="center"/>
          </w:tcPr>
          <w:p w14:paraId="7DEF06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看板管理</w:t>
            </w:r>
          </w:p>
        </w:tc>
        <w:tc>
          <w:tcPr>
            <w:tcW w:w="1107" w:type="pct"/>
            <w:shd w:val="clear" w:color="auto" w:fill="auto"/>
            <w:vAlign w:val="center"/>
          </w:tcPr>
          <w:p w14:paraId="124823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主单看板</w:t>
            </w:r>
          </w:p>
        </w:tc>
        <w:tc>
          <w:tcPr>
            <w:tcW w:w="2615" w:type="pct"/>
            <w:shd w:val="clear" w:color="auto" w:fill="auto"/>
            <w:vAlign w:val="center"/>
          </w:tcPr>
          <w:p w14:paraId="60779E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提供查询主单的理货、分拣情况等其它基础信息。</w:t>
            </w:r>
          </w:p>
        </w:tc>
      </w:tr>
      <w:tr w14:paraId="13F4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20AAB3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903" w:type="pct"/>
            <w:shd w:val="clear" w:color="auto" w:fill="auto"/>
            <w:vAlign w:val="center"/>
          </w:tcPr>
          <w:p w14:paraId="60CF20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DE20F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主单看板（总包）</w:t>
            </w:r>
          </w:p>
        </w:tc>
        <w:tc>
          <w:tcPr>
            <w:tcW w:w="2615" w:type="pct"/>
            <w:shd w:val="clear" w:color="auto" w:fill="auto"/>
            <w:vAlign w:val="center"/>
          </w:tcPr>
          <w:p w14:paraId="59AF98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总包维度查询主单的理货、分拣情况等其它基础信息。</w:t>
            </w:r>
          </w:p>
        </w:tc>
      </w:tr>
      <w:tr w14:paraId="3A9FC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79FBD3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903" w:type="pct"/>
            <w:shd w:val="clear" w:color="auto" w:fill="auto"/>
            <w:vAlign w:val="center"/>
          </w:tcPr>
          <w:p w14:paraId="3043CC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园区管理</w:t>
            </w:r>
          </w:p>
        </w:tc>
        <w:tc>
          <w:tcPr>
            <w:tcW w:w="1107" w:type="pct"/>
            <w:shd w:val="clear" w:color="auto" w:fill="auto"/>
            <w:vAlign w:val="center"/>
          </w:tcPr>
          <w:p w14:paraId="413F62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入区申请</w:t>
            </w:r>
          </w:p>
        </w:tc>
        <w:tc>
          <w:tcPr>
            <w:tcW w:w="2615" w:type="pct"/>
            <w:shd w:val="clear" w:color="auto" w:fill="auto"/>
            <w:vAlign w:val="center"/>
          </w:tcPr>
          <w:p w14:paraId="565BD9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物流企业入区申请页面，物流企业通过填写电子表格、上传相关资质，在线提交入区申请。</w:t>
            </w:r>
          </w:p>
        </w:tc>
      </w:tr>
      <w:tr w14:paraId="0BC5D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rPr>
        <w:tc>
          <w:tcPr>
            <w:tcW w:w="373" w:type="pct"/>
            <w:shd w:val="clear" w:color="auto" w:fill="auto"/>
            <w:vAlign w:val="center"/>
          </w:tcPr>
          <w:p w14:paraId="4DA012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903" w:type="pct"/>
            <w:shd w:val="clear" w:color="auto" w:fill="auto"/>
            <w:vAlign w:val="center"/>
          </w:tcPr>
          <w:p w14:paraId="0BEF75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1928B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入区审核</w:t>
            </w:r>
          </w:p>
        </w:tc>
        <w:tc>
          <w:tcPr>
            <w:tcW w:w="2615" w:type="pct"/>
            <w:shd w:val="clear" w:color="auto" w:fill="auto"/>
            <w:vAlign w:val="center"/>
          </w:tcPr>
          <w:p w14:paraId="39049D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包括审核员登录、申请资料审查、审核状态更新、反馈理由填写、审核结果通知等环节，确保申请合规性</w:t>
            </w:r>
          </w:p>
        </w:tc>
      </w:tr>
      <w:tr w14:paraId="5015F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602FBB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903" w:type="pct"/>
            <w:shd w:val="clear" w:color="auto" w:fill="auto"/>
            <w:vAlign w:val="center"/>
          </w:tcPr>
          <w:p w14:paraId="614B9D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出口管理</w:t>
            </w:r>
          </w:p>
        </w:tc>
        <w:tc>
          <w:tcPr>
            <w:tcW w:w="1107" w:type="pct"/>
            <w:shd w:val="clear" w:color="auto" w:fill="auto"/>
            <w:vAlign w:val="center"/>
          </w:tcPr>
          <w:p w14:paraId="71B2D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主单管理</w:t>
            </w:r>
          </w:p>
        </w:tc>
        <w:tc>
          <w:tcPr>
            <w:tcW w:w="2615" w:type="pct"/>
            <w:shd w:val="clear" w:color="auto" w:fill="auto"/>
            <w:vAlign w:val="center"/>
          </w:tcPr>
          <w:p w14:paraId="064ACB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查询主单数据，可编辑，可以查看详情</w:t>
            </w:r>
          </w:p>
        </w:tc>
      </w:tr>
      <w:tr w14:paraId="26A0D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174F09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903" w:type="pct"/>
            <w:shd w:val="clear" w:color="auto" w:fill="auto"/>
            <w:vAlign w:val="center"/>
          </w:tcPr>
          <w:p w14:paraId="1681B9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4CA823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到货管理</w:t>
            </w:r>
          </w:p>
        </w:tc>
        <w:tc>
          <w:tcPr>
            <w:tcW w:w="2615" w:type="pct"/>
            <w:shd w:val="clear" w:color="auto" w:fill="auto"/>
            <w:vAlign w:val="center"/>
          </w:tcPr>
          <w:p w14:paraId="02AAB6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查询到货数据</w:t>
            </w:r>
          </w:p>
        </w:tc>
      </w:tr>
      <w:tr w14:paraId="7218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2A263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7</w:t>
            </w:r>
          </w:p>
        </w:tc>
        <w:tc>
          <w:tcPr>
            <w:tcW w:w="903" w:type="pct"/>
            <w:shd w:val="clear" w:color="auto" w:fill="auto"/>
            <w:vAlign w:val="center"/>
          </w:tcPr>
          <w:p w14:paraId="02660C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0736A2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出库装车</w:t>
            </w:r>
          </w:p>
        </w:tc>
        <w:tc>
          <w:tcPr>
            <w:tcW w:w="2615" w:type="pct"/>
            <w:shd w:val="clear" w:color="auto" w:fill="auto"/>
            <w:noWrap/>
            <w:vAlign w:val="center"/>
          </w:tcPr>
          <w:p w14:paraId="5CFB56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查询出库装车数据</w:t>
            </w:r>
          </w:p>
        </w:tc>
      </w:tr>
      <w:tr w14:paraId="341975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14AAD0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p>
        </w:tc>
        <w:tc>
          <w:tcPr>
            <w:tcW w:w="903" w:type="pct"/>
            <w:shd w:val="clear" w:color="auto" w:fill="auto"/>
            <w:vAlign w:val="center"/>
          </w:tcPr>
          <w:p w14:paraId="57BE3F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运抵管理</w:t>
            </w:r>
          </w:p>
        </w:tc>
        <w:tc>
          <w:tcPr>
            <w:tcW w:w="1107" w:type="pct"/>
            <w:shd w:val="clear" w:color="auto" w:fill="auto"/>
            <w:vAlign w:val="center"/>
          </w:tcPr>
          <w:p w14:paraId="27C239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清单运抵</w:t>
            </w:r>
          </w:p>
        </w:tc>
        <w:tc>
          <w:tcPr>
            <w:tcW w:w="2615" w:type="pct"/>
            <w:shd w:val="clear" w:color="auto" w:fill="auto"/>
            <w:vAlign w:val="center"/>
          </w:tcPr>
          <w:p w14:paraId="3A538A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查询运抵单数据，可以进行编辑及申报等操作</w:t>
            </w:r>
          </w:p>
        </w:tc>
      </w:tr>
      <w:tr w14:paraId="7F3FD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77EAE4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9</w:t>
            </w:r>
          </w:p>
        </w:tc>
        <w:tc>
          <w:tcPr>
            <w:tcW w:w="903" w:type="pct"/>
            <w:shd w:val="clear" w:color="auto" w:fill="auto"/>
            <w:vAlign w:val="center"/>
          </w:tcPr>
          <w:p w14:paraId="76B270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分拣管理</w:t>
            </w:r>
          </w:p>
        </w:tc>
        <w:tc>
          <w:tcPr>
            <w:tcW w:w="1107" w:type="pct"/>
            <w:shd w:val="clear" w:color="auto" w:fill="auto"/>
            <w:vAlign w:val="center"/>
          </w:tcPr>
          <w:p w14:paraId="2C9D54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异常件管理</w:t>
            </w:r>
          </w:p>
        </w:tc>
        <w:tc>
          <w:tcPr>
            <w:tcW w:w="2615" w:type="pct"/>
            <w:shd w:val="clear" w:color="auto" w:fill="auto"/>
            <w:vAlign w:val="center"/>
          </w:tcPr>
          <w:p w14:paraId="423D1F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查询异常件数据，并进行相关处理</w:t>
            </w:r>
          </w:p>
        </w:tc>
      </w:tr>
      <w:tr w14:paraId="64386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23FC82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p>
        </w:tc>
        <w:tc>
          <w:tcPr>
            <w:tcW w:w="903" w:type="pct"/>
            <w:shd w:val="clear" w:color="auto" w:fill="auto"/>
            <w:vAlign w:val="center"/>
          </w:tcPr>
          <w:p w14:paraId="06F9B0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6EA1D2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短装件管理</w:t>
            </w:r>
          </w:p>
        </w:tc>
        <w:tc>
          <w:tcPr>
            <w:tcW w:w="2615" w:type="pct"/>
            <w:shd w:val="clear" w:color="auto" w:fill="auto"/>
            <w:vAlign w:val="center"/>
          </w:tcPr>
          <w:p w14:paraId="19597E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查询短装件数据，并进行相关处理</w:t>
            </w:r>
          </w:p>
        </w:tc>
      </w:tr>
      <w:tr w14:paraId="150F5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73" w:type="pct"/>
            <w:shd w:val="clear" w:color="auto" w:fill="auto"/>
            <w:vAlign w:val="center"/>
          </w:tcPr>
          <w:p w14:paraId="66A6AA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11</w:t>
            </w:r>
          </w:p>
        </w:tc>
        <w:tc>
          <w:tcPr>
            <w:tcW w:w="903" w:type="pct"/>
            <w:shd w:val="clear" w:color="auto" w:fill="auto"/>
            <w:vAlign w:val="center"/>
          </w:tcPr>
          <w:p w14:paraId="78D485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E2DC1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查验管理</w:t>
            </w:r>
          </w:p>
        </w:tc>
        <w:tc>
          <w:tcPr>
            <w:tcW w:w="2615" w:type="pct"/>
            <w:shd w:val="clear" w:color="auto" w:fill="auto"/>
            <w:vAlign w:val="center"/>
          </w:tcPr>
          <w:p w14:paraId="466E8A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查询查验件数据，并进行相关处理</w:t>
            </w:r>
          </w:p>
        </w:tc>
      </w:tr>
      <w:tr w14:paraId="398D0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73" w:type="pct"/>
            <w:shd w:val="clear" w:color="auto" w:fill="auto"/>
            <w:vAlign w:val="center"/>
          </w:tcPr>
          <w:p w14:paraId="3C9C01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12</w:t>
            </w:r>
          </w:p>
        </w:tc>
        <w:tc>
          <w:tcPr>
            <w:tcW w:w="903" w:type="pct"/>
            <w:shd w:val="clear" w:color="auto" w:fill="auto"/>
            <w:vAlign w:val="center"/>
          </w:tcPr>
          <w:p w14:paraId="1A1825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14DAA0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暂扣管理</w:t>
            </w:r>
          </w:p>
        </w:tc>
        <w:tc>
          <w:tcPr>
            <w:tcW w:w="2615" w:type="pct"/>
            <w:shd w:val="clear" w:color="auto" w:fill="auto"/>
            <w:vAlign w:val="center"/>
          </w:tcPr>
          <w:p w14:paraId="63AC61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查询暂扣件数据，并进行相关处理</w:t>
            </w:r>
          </w:p>
        </w:tc>
      </w:tr>
      <w:tr w14:paraId="70FEF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59D2A8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13</w:t>
            </w:r>
          </w:p>
        </w:tc>
        <w:tc>
          <w:tcPr>
            <w:tcW w:w="903" w:type="pct"/>
            <w:shd w:val="clear" w:color="auto" w:fill="auto"/>
            <w:vAlign w:val="center"/>
          </w:tcPr>
          <w:p w14:paraId="7C150C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0DE96B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退运管理</w:t>
            </w:r>
          </w:p>
        </w:tc>
        <w:tc>
          <w:tcPr>
            <w:tcW w:w="2615" w:type="pct"/>
            <w:shd w:val="clear" w:color="auto" w:fill="auto"/>
            <w:vAlign w:val="center"/>
          </w:tcPr>
          <w:p w14:paraId="5DED4E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查询退运数据，并进行相关处理</w:t>
            </w:r>
          </w:p>
        </w:tc>
      </w:tr>
      <w:tr w14:paraId="75997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54C7EA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14</w:t>
            </w:r>
          </w:p>
        </w:tc>
        <w:tc>
          <w:tcPr>
            <w:tcW w:w="903" w:type="pct"/>
            <w:shd w:val="clear" w:color="auto" w:fill="auto"/>
            <w:vAlign w:val="center"/>
          </w:tcPr>
          <w:p w14:paraId="4CD073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688CB2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机检管理</w:t>
            </w:r>
          </w:p>
        </w:tc>
        <w:tc>
          <w:tcPr>
            <w:tcW w:w="2615" w:type="pct"/>
            <w:shd w:val="clear" w:color="auto" w:fill="auto"/>
            <w:vAlign w:val="center"/>
          </w:tcPr>
          <w:p w14:paraId="08ED50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查询机检数据，并进行相关处理</w:t>
            </w:r>
          </w:p>
        </w:tc>
      </w:tr>
      <w:tr w14:paraId="3F749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77B5A1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15</w:t>
            </w:r>
          </w:p>
        </w:tc>
        <w:tc>
          <w:tcPr>
            <w:tcW w:w="903" w:type="pct"/>
            <w:shd w:val="clear" w:color="auto" w:fill="auto"/>
            <w:vAlign w:val="center"/>
          </w:tcPr>
          <w:p w14:paraId="49C2BF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查询管理</w:t>
            </w:r>
          </w:p>
        </w:tc>
        <w:tc>
          <w:tcPr>
            <w:tcW w:w="1107" w:type="pct"/>
            <w:shd w:val="clear" w:color="auto" w:fill="auto"/>
            <w:vAlign w:val="center"/>
          </w:tcPr>
          <w:p w14:paraId="57E750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主单查询</w:t>
            </w:r>
          </w:p>
        </w:tc>
        <w:tc>
          <w:tcPr>
            <w:tcW w:w="2615" w:type="pct"/>
            <w:shd w:val="clear" w:color="auto" w:fill="auto"/>
            <w:vAlign w:val="center"/>
          </w:tcPr>
          <w:p w14:paraId="5FC348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查询主单数据</w:t>
            </w:r>
          </w:p>
        </w:tc>
      </w:tr>
      <w:tr w14:paraId="260E6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7299D5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16</w:t>
            </w:r>
          </w:p>
        </w:tc>
        <w:tc>
          <w:tcPr>
            <w:tcW w:w="903" w:type="pct"/>
            <w:shd w:val="clear" w:color="auto" w:fill="auto"/>
            <w:vAlign w:val="center"/>
          </w:tcPr>
          <w:p w14:paraId="7B1413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FCAD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分单查询</w:t>
            </w:r>
          </w:p>
        </w:tc>
        <w:tc>
          <w:tcPr>
            <w:tcW w:w="2615" w:type="pct"/>
            <w:shd w:val="clear" w:color="auto" w:fill="auto"/>
            <w:vAlign w:val="center"/>
          </w:tcPr>
          <w:p w14:paraId="32FBDC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查询分单数据</w:t>
            </w:r>
          </w:p>
        </w:tc>
      </w:tr>
      <w:tr w14:paraId="55A58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3EDD1D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17</w:t>
            </w:r>
          </w:p>
        </w:tc>
        <w:tc>
          <w:tcPr>
            <w:tcW w:w="903" w:type="pct"/>
            <w:shd w:val="clear" w:color="auto" w:fill="auto"/>
            <w:vAlign w:val="center"/>
          </w:tcPr>
          <w:p w14:paraId="3F6CE2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47E9A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入库查询</w:t>
            </w:r>
          </w:p>
        </w:tc>
        <w:tc>
          <w:tcPr>
            <w:tcW w:w="2615" w:type="pct"/>
            <w:shd w:val="clear" w:color="auto" w:fill="auto"/>
            <w:vAlign w:val="center"/>
          </w:tcPr>
          <w:p w14:paraId="56F399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查询入库记录</w:t>
            </w:r>
          </w:p>
        </w:tc>
      </w:tr>
      <w:tr w14:paraId="7FCE1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6C5A4B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18</w:t>
            </w:r>
          </w:p>
        </w:tc>
        <w:tc>
          <w:tcPr>
            <w:tcW w:w="903" w:type="pct"/>
            <w:shd w:val="clear" w:color="auto" w:fill="auto"/>
            <w:vAlign w:val="center"/>
          </w:tcPr>
          <w:p w14:paraId="42448E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AB9D5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出库查询</w:t>
            </w:r>
          </w:p>
        </w:tc>
        <w:tc>
          <w:tcPr>
            <w:tcW w:w="2615" w:type="pct"/>
            <w:shd w:val="clear" w:color="auto" w:fill="auto"/>
            <w:vAlign w:val="center"/>
          </w:tcPr>
          <w:p w14:paraId="4994FB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查询出库记录</w:t>
            </w:r>
          </w:p>
        </w:tc>
      </w:tr>
      <w:tr w14:paraId="1C872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2B8A67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19</w:t>
            </w:r>
          </w:p>
        </w:tc>
        <w:tc>
          <w:tcPr>
            <w:tcW w:w="903" w:type="pct"/>
            <w:shd w:val="clear" w:color="auto" w:fill="auto"/>
            <w:vAlign w:val="center"/>
          </w:tcPr>
          <w:p w14:paraId="4C9B32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0BA4F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二道扫查询</w:t>
            </w:r>
          </w:p>
        </w:tc>
        <w:tc>
          <w:tcPr>
            <w:tcW w:w="2615" w:type="pct"/>
            <w:shd w:val="clear" w:color="auto" w:fill="auto"/>
            <w:vAlign w:val="center"/>
          </w:tcPr>
          <w:p w14:paraId="41194B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查询二道扫记录</w:t>
            </w:r>
          </w:p>
        </w:tc>
      </w:tr>
      <w:tr w14:paraId="3709F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3AC104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20</w:t>
            </w:r>
          </w:p>
        </w:tc>
        <w:tc>
          <w:tcPr>
            <w:tcW w:w="903" w:type="pct"/>
            <w:shd w:val="clear" w:color="auto" w:fill="auto"/>
            <w:vAlign w:val="center"/>
          </w:tcPr>
          <w:p w14:paraId="1A08E6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006544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货品明细查询</w:t>
            </w:r>
          </w:p>
        </w:tc>
        <w:tc>
          <w:tcPr>
            <w:tcW w:w="2615" w:type="pct"/>
            <w:shd w:val="clear" w:color="auto" w:fill="auto"/>
            <w:vAlign w:val="center"/>
          </w:tcPr>
          <w:p w14:paraId="5C5EB4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查询货品明细</w:t>
            </w:r>
          </w:p>
        </w:tc>
      </w:tr>
      <w:tr w14:paraId="6F478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7866EC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21</w:t>
            </w:r>
          </w:p>
        </w:tc>
        <w:tc>
          <w:tcPr>
            <w:tcW w:w="903" w:type="pct"/>
            <w:shd w:val="clear" w:color="auto" w:fill="auto"/>
            <w:vAlign w:val="center"/>
          </w:tcPr>
          <w:p w14:paraId="42F40B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631800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历史查验件</w:t>
            </w:r>
          </w:p>
        </w:tc>
        <w:tc>
          <w:tcPr>
            <w:tcW w:w="2615" w:type="pct"/>
            <w:shd w:val="clear" w:color="auto" w:fill="auto"/>
            <w:vAlign w:val="center"/>
          </w:tcPr>
          <w:p w14:paraId="617210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查询历史查验件</w:t>
            </w:r>
          </w:p>
        </w:tc>
      </w:tr>
      <w:tr w14:paraId="33EE0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1E260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22</w:t>
            </w:r>
          </w:p>
        </w:tc>
        <w:tc>
          <w:tcPr>
            <w:tcW w:w="903" w:type="pct"/>
            <w:shd w:val="clear" w:color="auto" w:fill="auto"/>
            <w:vAlign w:val="center"/>
          </w:tcPr>
          <w:p w14:paraId="716CDD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9159D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历史暂扣件</w:t>
            </w:r>
          </w:p>
        </w:tc>
        <w:tc>
          <w:tcPr>
            <w:tcW w:w="2615" w:type="pct"/>
            <w:shd w:val="clear" w:color="auto" w:fill="auto"/>
            <w:vAlign w:val="center"/>
          </w:tcPr>
          <w:p w14:paraId="39C32B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查询历史暂扣件</w:t>
            </w:r>
          </w:p>
        </w:tc>
      </w:tr>
      <w:tr w14:paraId="1E500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73" w:type="pct"/>
            <w:shd w:val="clear" w:color="auto" w:fill="auto"/>
            <w:vAlign w:val="center"/>
          </w:tcPr>
          <w:p w14:paraId="2BE27F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23</w:t>
            </w:r>
          </w:p>
        </w:tc>
        <w:tc>
          <w:tcPr>
            <w:tcW w:w="903" w:type="pct"/>
            <w:shd w:val="clear" w:color="auto" w:fill="auto"/>
            <w:vAlign w:val="center"/>
          </w:tcPr>
          <w:p w14:paraId="0FDDC9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FEB0D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业务量统计总表</w:t>
            </w:r>
          </w:p>
        </w:tc>
        <w:tc>
          <w:tcPr>
            <w:tcW w:w="2615" w:type="pct"/>
            <w:shd w:val="clear" w:color="auto" w:fill="auto"/>
            <w:vAlign w:val="center"/>
          </w:tcPr>
          <w:p w14:paraId="15BA0F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场所业务量统计，支持按时间段、业务类型统计</w:t>
            </w:r>
          </w:p>
        </w:tc>
      </w:tr>
      <w:tr w14:paraId="3BC9D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5" w:hRule="atLeast"/>
        </w:trPr>
        <w:tc>
          <w:tcPr>
            <w:tcW w:w="373" w:type="pct"/>
            <w:shd w:val="clear" w:color="auto" w:fill="auto"/>
            <w:vAlign w:val="center"/>
          </w:tcPr>
          <w:p w14:paraId="7089C8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24</w:t>
            </w:r>
          </w:p>
        </w:tc>
        <w:tc>
          <w:tcPr>
            <w:tcW w:w="903" w:type="pct"/>
            <w:shd w:val="clear" w:color="auto" w:fill="auto"/>
            <w:vAlign w:val="center"/>
          </w:tcPr>
          <w:p w14:paraId="2A5A6C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53531D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企业统计总表</w:t>
            </w:r>
          </w:p>
        </w:tc>
        <w:tc>
          <w:tcPr>
            <w:tcW w:w="2615" w:type="pct"/>
            <w:shd w:val="clear" w:color="auto" w:fill="auto"/>
            <w:vAlign w:val="center"/>
          </w:tcPr>
          <w:p w14:paraId="41DB56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查询本场所内的物流企业业务量数据</w:t>
            </w:r>
          </w:p>
        </w:tc>
      </w:tr>
      <w:tr w14:paraId="59673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473BD1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25</w:t>
            </w:r>
          </w:p>
        </w:tc>
        <w:tc>
          <w:tcPr>
            <w:tcW w:w="903" w:type="pct"/>
            <w:shd w:val="clear" w:color="auto" w:fill="auto"/>
            <w:vAlign w:val="center"/>
          </w:tcPr>
          <w:p w14:paraId="4E5D38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E602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提货单报表</w:t>
            </w:r>
          </w:p>
        </w:tc>
        <w:tc>
          <w:tcPr>
            <w:tcW w:w="2615" w:type="pct"/>
            <w:shd w:val="clear" w:color="auto" w:fill="auto"/>
            <w:vAlign w:val="center"/>
          </w:tcPr>
          <w:p w14:paraId="004551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查询提货单数据</w:t>
            </w:r>
          </w:p>
        </w:tc>
      </w:tr>
      <w:tr w14:paraId="0E1D4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730999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26</w:t>
            </w:r>
          </w:p>
        </w:tc>
        <w:tc>
          <w:tcPr>
            <w:tcW w:w="903" w:type="pct"/>
            <w:shd w:val="clear" w:color="auto" w:fill="auto"/>
            <w:vAlign w:val="center"/>
          </w:tcPr>
          <w:p w14:paraId="18F354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基础管理</w:t>
            </w:r>
          </w:p>
        </w:tc>
        <w:tc>
          <w:tcPr>
            <w:tcW w:w="1107" w:type="pct"/>
            <w:shd w:val="clear" w:color="auto" w:fill="auto"/>
            <w:vAlign w:val="center"/>
          </w:tcPr>
          <w:p w14:paraId="71D16F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企业备案</w:t>
            </w:r>
          </w:p>
        </w:tc>
        <w:tc>
          <w:tcPr>
            <w:tcW w:w="2615" w:type="pct"/>
            <w:shd w:val="clear" w:color="auto" w:fill="auto"/>
            <w:vAlign w:val="center"/>
          </w:tcPr>
          <w:p w14:paraId="3BA71A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企业备案登记</w:t>
            </w:r>
          </w:p>
        </w:tc>
      </w:tr>
      <w:tr w14:paraId="7F1DE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71B1A3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27</w:t>
            </w:r>
          </w:p>
        </w:tc>
        <w:tc>
          <w:tcPr>
            <w:tcW w:w="903" w:type="pct"/>
            <w:shd w:val="clear" w:color="auto" w:fill="auto"/>
            <w:vAlign w:val="center"/>
          </w:tcPr>
          <w:p w14:paraId="42FD07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5DC5F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集装箱备案</w:t>
            </w:r>
          </w:p>
        </w:tc>
        <w:tc>
          <w:tcPr>
            <w:tcW w:w="2615" w:type="pct"/>
            <w:shd w:val="clear" w:color="auto" w:fill="auto"/>
            <w:vAlign w:val="center"/>
          </w:tcPr>
          <w:p w14:paraId="2171C6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集装箱备案登记</w:t>
            </w:r>
          </w:p>
        </w:tc>
      </w:tr>
      <w:tr w14:paraId="15B7E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3" w:type="pct"/>
            <w:shd w:val="clear" w:color="auto" w:fill="auto"/>
            <w:vAlign w:val="center"/>
          </w:tcPr>
          <w:p w14:paraId="36C5F3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28</w:t>
            </w:r>
          </w:p>
        </w:tc>
        <w:tc>
          <w:tcPr>
            <w:tcW w:w="903" w:type="pct"/>
            <w:shd w:val="clear" w:color="auto" w:fill="auto"/>
            <w:vAlign w:val="center"/>
          </w:tcPr>
          <w:p w14:paraId="5887FE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系统管理</w:t>
            </w:r>
          </w:p>
        </w:tc>
        <w:tc>
          <w:tcPr>
            <w:tcW w:w="1107" w:type="pct"/>
            <w:shd w:val="clear" w:color="auto" w:fill="auto"/>
            <w:vAlign w:val="center"/>
          </w:tcPr>
          <w:p w14:paraId="2839FB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操作日志</w:t>
            </w:r>
          </w:p>
        </w:tc>
        <w:tc>
          <w:tcPr>
            <w:tcW w:w="2615" w:type="pct"/>
            <w:shd w:val="clear" w:color="auto" w:fill="auto"/>
            <w:vAlign w:val="center"/>
          </w:tcPr>
          <w:p w14:paraId="20A2AA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记录网页及PDA操作记录</w:t>
            </w:r>
          </w:p>
        </w:tc>
      </w:tr>
      <w:tr w14:paraId="548A8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373" w:type="pct"/>
            <w:shd w:val="clear" w:color="auto" w:fill="auto"/>
            <w:vAlign w:val="center"/>
          </w:tcPr>
          <w:p w14:paraId="328CA7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29</w:t>
            </w:r>
          </w:p>
        </w:tc>
        <w:tc>
          <w:tcPr>
            <w:tcW w:w="903" w:type="pct"/>
            <w:shd w:val="clear" w:color="auto" w:fill="auto"/>
            <w:vAlign w:val="center"/>
          </w:tcPr>
          <w:p w14:paraId="6662EE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66A727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机检设置</w:t>
            </w:r>
          </w:p>
        </w:tc>
        <w:tc>
          <w:tcPr>
            <w:tcW w:w="2615" w:type="pct"/>
            <w:shd w:val="clear" w:color="auto" w:fill="auto"/>
            <w:vAlign w:val="center"/>
          </w:tcPr>
          <w:p w14:paraId="7AD100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设置机检参数</w:t>
            </w:r>
          </w:p>
        </w:tc>
      </w:tr>
      <w:tr w14:paraId="13897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099791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30</w:t>
            </w:r>
          </w:p>
        </w:tc>
        <w:tc>
          <w:tcPr>
            <w:tcW w:w="903" w:type="pct"/>
            <w:shd w:val="clear" w:color="auto" w:fill="auto"/>
            <w:vAlign w:val="center"/>
          </w:tcPr>
          <w:p w14:paraId="52DD21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Pda</w:t>
            </w:r>
            <w:r>
              <w:rPr>
                <w:rFonts w:hint="eastAsia" w:ascii="宋体" w:hAnsi="宋体" w:eastAsia="宋体" w:cs="宋体"/>
                <w:b/>
                <w:bCs/>
                <w:sz w:val="24"/>
                <w:szCs w:val="24"/>
                <w:lang w:val="en-US" w:eastAsia="zh-CN"/>
              </w:rPr>
              <w:t>（评标项6）</w:t>
            </w:r>
          </w:p>
        </w:tc>
        <w:tc>
          <w:tcPr>
            <w:tcW w:w="1107" w:type="pct"/>
            <w:shd w:val="clear" w:color="auto" w:fill="auto"/>
            <w:vAlign w:val="center"/>
          </w:tcPr>
          <w:p w14:paraId="1EE896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登录</w:t>
            </w:r>
          </w:p>
        </w:tc>
        <w:tc>
          <w:tcPr>
            <w:tcW w:w="2615" w:type="pct"/>
            <w:shd w:val="clear" w:color="auto" w:fill="auto"/>
            <w:vAlign w:val="center"/>
          </w:tcPr>
          <w:p w14:paraId="77E288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输入账号、密码进行登录</w:t>
            </w:r>
          </w:p>
        </w:tc>
      </w:tr>
      <w:tr w14:paraId="14283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373" w:type="pct"/>
            <w:shd w:val="clear" w:color="auto" w:fill="auto"/>
            <w:vAlign w:val="center"/>
          </w:tcPr>
          <w:p w14:paraId="6D3DAD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31</w:t>
            </w:r>
          </w:p>
        </w:tc>
        <w:tc>
          <w:tcPr>
            <w:tcW w:w="903" w:type="pct"/>
            <w:shd w:val="clear" w:color="auto" w:fill="auto"/>
            <w:vAlign w:val="center"/>
          </w:tcPr>
          <w:p w14:paraId="5DD2B8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9711A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首页</w:t>
            </w:r>
          </w:p>
        </w:tc>
        <w:tc>
          <w:tcPr>
            <w:tcW w:w="2615" w:type="pct"/>
            <w:shd w:val="clear" w:color="auto" w:fill="auto"/>
            <w:vAlign w:val="center"/>
          </w:tcPr>
          <w:p w14:paraId="4B9737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主菜单入口，包含进口、出口、库内管理、系统设置菜单</w:t>
            </w:r>
          </w:p>
        </w:tc>
      </w:tr>
      <w:tr w14:paraId="03E93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0" w:hRule="atLeast"/>
        </w:trPr>
        <w:tc>
          <w:tcPr>
            <w:tcW w:w="373" w:type="pct"/>
            <w:shd w:val="clear" w:color="auto" w:fill="auto"/>
            <w:vAlign w:val="center"/>
          </w:tcPr>
          <w:p w14:paraId="1171B3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32</w:t>
            </w:r>
          </w:p>
        </w:tc>
        <w:tc>
          <w:tcPr>
            <w:tcW w:w="903" w:type="pct"/>
            <w:shd w:val="clear" w:color="auto" w:fill="auto"/>
            <w:vAlign w:val="center"/>
          </w:tcPr>
          <w:p w14:paraId="735C1E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0A06C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出口入库</w:t>
            </w:r>
          </w:p>
        </w:tc>
        <w:tc>
          <w:tcPr>
            <w:tcW w:w="2615" w:type="pct"/>
            <w:shd w:val="clear" w:color="auto" w:fill="auto"/>
            <w:vAlign w:val="center"/>
          </w:tcPr>
          <w:p w14:paraId="5FA599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输入需要进行入库操作的车牌号（模糊查询）、入库库位，确定后即可进入选择所要入库的主单选择页面，选择一条主单号后进行扫描分单入库</w:t>
            </w:r>
          </w:p>
        </w:tc>
      </w:tr>
      <w:tr w14:paraId="67DC0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22A0A3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33</w:t>
            </w:r>
          </w:p>
        </w:tc>
        <w:tc>
          <w:tcPr>
            <w:tcW w:w="903" w:type="pct"/>
            <w:shd w:val="clear" w:color="auto" w:fill="auto"/>
            <w:vAlign w:val="center"/>
          </w:tcPr>
          <w:p w14:paraId="5EF5A7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72F571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出口出库</w:t>
            </w:r>
          </w:p>
        </w:tc>
        <w:tc>
          <w:tcPr>
            <w:tcW w:w="2615" w:type="pct"/>
            <w:shd w:val="clear" w:color="auto" w:fill="auto"/>
            <w:vAlign w:val="center"/>
          </w:tcPr>
          <w:p w14:paraId="17B75F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输入车牌号、柜号，确定后即可进入出库扫描页面，之后扫描分单条码即可成功出库</w:t>
            </w:r>
          </w:p>
        </w:tc>
      </w:tr>
      <w:tr w14:paraId="2EE15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5F4494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34</w:t>
            </w:r>
          </w:p>
        </w:tc>
        <w:tc>
          <w:tcPr>
            <w:tcW w:w="903" w:type="pct"/>
            <w:shd w:val="clear" w:color="auto" w:fill="auto"/>
            <w:vAlign w:val="center"/>
          </w:tcPr>
          <w:p w14:paraId="116025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461584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出口预装柜</w:t>
            </w:r>
          </w:p>
        </w:tc>
        <w:tc>
          <w:tcPr>
            <w:tcW w:w="2615" w:type="pct"/>
            <w:shd w:val="clear" w:color="auto" w:fill="auto"/>
            <w:vAlign w:val="center"/>
          </w:tcPr>
          <w:p w14:paraId="7947C0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选定所需要进行预装柜的主单，选择需要装柜库位及柜号进行预装柜操作</w:t>
            </w:r>
          </w:p>
        </w:tc>
      </w:tr>
      <w:tr w14:paraId="1E095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081ECE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35</w:t>
            </w:r>
          </w:p>
        </w:tc>
        <w:tc>
          <w:tcPr>
            <w:tcW w:w="903" w:type="pct"/>
            <w:shd w:val="clear" w:color="auto" w:fill="auto"/>
            <w:vAlign w:val="center"/>
          </w:tcPr>
          <w:p w14:paraId="092360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7BFB67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查验件登记</w:t>
            </w:r>
          </w:p>
        </w:tc>
        <w:tc>
          <w:tcPr>
            <w:tcW w:w="2615" w:type="pct"/>
            <w:shd w:val="clear" w:color="auto" w:fill="auto"/>
            <w:vAlign w:val="center"/>
          </w:tcPr>
          <w:p w14:paraId="5EF6EC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扫描所需要登记为查验件的分单号即可成功将该分单号登记为查验件</w:t>
            </w:r>
          </w:p>
        </w:tc>
      </w:tr>
      <w:tr w14:paraId="1E4E2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19C1E7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36</w:t>
            </w:r>
          </w:p>
        </w:tc>
        <w:tc>
          <w:tcPr>
            <w:tcW w:w="903" w:type="pct"/>
            <w:shd w:val="clear" w:color="auto" w:fill="auto"/>
            <w:vAlign w:val="center"/>
          </w:tcPr>
          <w:p w14:paraId="02CF7B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5372C5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复审查验登记</w:t>
            </w:r>
          </w:p>
        </w:tc>
        <w:tc>
          <w:tcPr>
            <w:tcW w:w="2615" w:type="pct"/>
            <w:shd w:val="clear" w:color="auto" w:fill="auto"/>
            <w:vAlign w:val="center"/>
          </w:tcPr>
          <w:p w14:paraId="553D79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扫描所需要登记为查验件的分单号即可成功将该分单号登记为查验件</w:t>
            </w:r>
          </w:p>
        </w:tc>
      </w:tr>
      <w:tr w14:paraId="75A94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60" w:hRule="atLeast"/>
        </w:trPr>
        <w:tc>
          <w:tcPr>
            <w:tcW w:w="373" w:type="pct"/>
            <w:shd w:val="clear" w:color="auto" w:fill="auto"/>
            <w:vAlign w:val="center"/>
          </w:tcPr>
          <w:p w14:paraId="116E7D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37</w:t>
            </w:r>
          </w:p>
        </w:tc>
        <w:tc>
          <w:tcPr>
            <w:tcW w:w="903" w:type="pct"/>
            <w:shd w:val="clear" w:color="auto" w:fill="auto"/>
            <w:vAlign w:val="center"/>
          </w:tcPr>
          <w:p w14:paraId="57019B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3F7912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暂扣件登记</w:t>
            </w:r>
          </w:p>
        </w:tc>
        <w:tc>
          <w:tcPr>
            <w:tcW w:w="2615" w:type="pct"/>
            <w:shd w:val="clear" w:color="auto" w:fill="auto"/>
            <w:vAlign w:val="center"/>
          </w:tcPr>
          <w:p w14:paraId="594CFC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扫描所需要登记为暂扣件的分单号即可成功将该分单号登记为暂扣件</w:t>
            </w:r>
          </w:p>
        </w:tc>
      </w:tr>
      <w:tr w14:paraId="5814B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0E9F02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38</w:t>
            </w:r>
          </w:p>
        </w:tc>
        <w:tc>
          <w:tcPr>
            <w:tcW w:w="903" w:type="pct"/>
            <w:shd w:val="clear" w:color="auto" w:fill="auto"/>
            <w:vAlign w:val="center"/>
          </w:tcPr>
          <w:p w14:paraId="1BF655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54618B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状态查询</w:t>
            </w:r>
          </w:p>
        </w:tc>
        <w:tc>
          <w:tcPr>
            <w:tcW w:w="2615" w:type="pct"/>
            <w:shd w:val="clear" w:color="auto" w:fill="auto"/>
            <w:vAlign w:val="center"/>
          </w:tcPr>
          <w:p w14:paraId="7EF999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查询所扫描分单号的状态</w:t>
            </w:r>
          </w:p>
        </w:tc>
      </w:tr>
      <w:tr w14:paraId="379405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3" w:type="pct"/>
            <w:shd w:val="clear" w:color="auto" w:fill="auto"/>
            <w:vAlign w:val="center"/>
          </w:tcPr>
          <w:p w14:paraId="3AB783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lang w:val="en-US"/>
              </w:rPr>
            </w:pPr>
            <w:r>
              <w:rPr>
                <w:rFonts w:hint="eastAsia" w:ascii="宋体" w:hAnsi="宋体" w:eastAsia="宋体" w:cs="宋体"/>
                <w:sz w:val="24"/>
                <w:szCs w:val="24"/>
                <w:lang w:val="en-US" w:eastAsia="zh-CN"/>
              </w:rPr>
              <w:t>39</w:t>
            </w:r>
          </w:p>
        </w:tc>
        <w:tc>
          <w:tcPr>
            <w:tcW w:w="903" w:type="pct"/>
            <w:shd w:val="clear" w:color="auto" w:fill="auto"/>
            <w:vAlign w:val="center"/>
          </w:tcPr>
          <w:p w14:paraId="065F75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1107" w:type="pct"/>
            <w:shd w:val="clear" w:color="auto" w:fill="auto"/>
            <w:vAlign w:val="center"/>
          </w:tcPr>
          <w:p w14:paraId="25A427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系统设置</w:t>
            </w:r>
          </w:p>
        </w:tc>
        <w:tc>
          <w:tcPr>
            <w:tcW w:w="2615" w:type="pct"/>
            <w:shd w:val="clear" w:color="auto" w:fill="auto"/>
            <w:vAlign w:val="center"/>
          </w:tcPr>
          <w:p w14:paraId="6B7249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lang w:val="en-US" w:eastAsia="zh-CN"/>
              </w:rPr>
              <w:t>系统参数设置</w:t>
            </w:r>
          </w:p>
        </w:tc>
      </w:tr>
    </w:tbl>
    <w:p w14:paraId="53DF6B72">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4.8分拣查验系统</w:t>
      </w:r>
    </w:p>
    <w:tbl>
      <w:tblPr>
        <w:tblStyle w:val="17"/>
        <w:tblW w:w="492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38"/>
        <w:gridCol w:w="1750"/>
        <w:gridCol w:w="3563"/>
        <w:gridCol w:w="925"/>
        <w:gridCol w:w="787"/>
        <w:gridCol w:w="988"/>
        <w:gridCol w:w="1062"/>
      </w:tblGrid>
      <w:tr w14:paraId="077A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76" w:type="pct"/>
            <w:shd w:val="clear" w:color="auto" w:fill="FFFFFF" w:themeFill="background1"/>
            <w:vAlign w:val="center"/>
          </w:tcPr>
          <w:p w14:paraId="3F7B89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891" w:type="pct"/>
            <w:shd w:val="clear" w:color="auto" w:fill="FFFFFF" w:themeFill="background1"/>
            <w:vAlign w:val="center"/>
          </w:tcPr>
          <w:p w14:paraId="482366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1815" w:type="pct"/>
            <w:shd w:val="clear" w:color="auto" w:fill="FFFFFF" w:themeFill="background1"/>
            <w:vAlign w:val="center"/>
          </w:tcPr>
          <w:p w14:paraId="19CA38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color w:val="000000"/>
                <w:kern w:val="0"/>
                <w:sz w:val="24"/>
                <w:szCs w:val="24"/>
              </w:rPr>
              <w:t>技术规格及参数</w:t>
            </w:r>
          </w:p>
        </w:tc>
        <w:tc>
          <w:tcPr>
            <w:tcW w:w="471" w:type="pct"/>
            <w:shd w:val="clear" w:color="auto" w:fill="FFFFFF" w:themeFill="background1"/>
            <w:vAlign w:val="center"/>
          </w:tcPr>
          <w:p w14:paraId="16B2D1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数量</w:t>
            </w:r>
          </w:p>
        </w:tc>
        <w:tc>
          <w:tcPr>
            <w:tcW w:w="400" w:type="pct"/>
            <w:shd w:val="clear" w:color="auto" w:fill="FFFFFF" w:themeFill="background1"/>
            <w:vAlign w:val="center"/>
          </w:tcPr>
          <w:p w14:paraId="799619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503" w:type="pct"/>
            <w:shd w:val="clear" w:color="auto" w:fill="FFFFFF" w:themeFill="background1"/>
            <w:vAlign w:val="center"/>
          </w:tcPr>
          <w:p w14:paraId="7D1EC3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单价</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c>
          <w:tcPr>
            <w:tcW w:w="541" w:type="pct"/>
            <w:shd w:val="clear" w:color="auto" w:fill="FFFFFF" w:themeFill="background1"/>
            <w:vAlign w:val="center"/>
          </w:tcPr>
          <w:p w14:paraId="298096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金额</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r>
      <w:tr w14:paraId="2F36A3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26F36F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91" w:type="pct"/>
            <w:shd w:val="clear" w:color="auto" w:fill="auto"/>
            <w:vAlign w:val="center"/>
          </w:tcPr>
          <w:p w14:paraId="63B742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输送系统</w:t>
            </w:r>
          </w:p>
        </w:tc>
        <w:tc>
          <w:tcPr>
            <w:tcW w:w="1815" w:type="pct"/>
            <w:shd w:val="clear" w:color="auto" w:fill="auto"/>
            <w:vAlign w:val="center"/>
          </w:tcPr>
          <w:p w14:paraId="34AD71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1" w:type="pct"/>
            <w:shd w:val="clear" w:color="auto" w:fill="auto"/>
            <w:vAlign w:val="center"/>
          </w:tcPr>
          <w:p w14:paraId="564555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400" w:type="pct"/>
            <w:shd w:val="clear" w:color="auto" w:fill="auto"/>
            <w:vAlign w:val="center"/>
          </w:tcPr>
          <w:p w14:paraId="58526E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03" w:type="pct"/>
            <w:shd w:val="clear" w:color="auto" w:fill="auto"/>
            <w:vAlign w:val="center"/>
          </w:tcPr>
          <w:p w14:paraId="5D034F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41" w:type="pct"/>
            <w:shd w:val="clear" w:color="auto" w:fill="auto"/>
            <w:vAlign w:val="center"/>
          </w:tcPr>
          <w:p w14:paraId="78E042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r>
      <w:tr w14:paraId="3C0D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6550AF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1.1</w:t>
            </w:r>
          </w:p>
        </w:tc>
        <w:tc>
          <w:tcPr>
            <w:tcW w:w="891" w:type="pct"/>
            <w:shd w:val="clear" w:color="auto" w:fill="auto"/>
            <w:vAlign w:val="center"/>
          </w:tcPr>
          <w:p w14:paraId="764CE9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万向球平台</w:t>
            </w:r>
          </w:p>
        </w:tc>
        <w:tc>
          <w:tcPr>
            <w:tcW w:w="1815" w:type="pct"/>
            <w:shd w:val="clear" w:color="auto" w:fill="auto"/>
            <w:vAlign w:val="center"/>
          </w:tcPr>
          <w:p w14:paraId="63ED84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≥1000mm,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≥750mm；万向球采用1"不锈钢滚珠，间隔≤100mm，承载板≥1.5mm不锈钢</w:t>
            </w:r>
            <w:r>
              <w:rPr>
                <w:rFonts w:hint="eastAsia" w:ascii="宋体" w:hAnsi="宋体" w:eastAsia="宋体" w:cs="宋体"/>
                <w:sz w:val="24"/>
                <w:szCs w:val="24"/>
                <w:lang w:eastAsia="zh-CN"/>
              </w:rPr>
              <w:t>；</w:t>
            </w:r>
          </w:p>
        </w:tc>
        <w:tc>
          <w:tcPr>
            <w:tcW w:w="471" w:type="pct"/>
            <w:shd w:val="clear" w:color="auto" w:fill="auto"/>
            <w:vAlign w:val="center"/>
          </w:tcPr>
          <w:p w14:paraId="7DDD16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760FA1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08E715F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41" w:type="pct"/>
            <w:shd w:val="clear" w:color="auto" w:fill="auto"/>
            <w:vAlign w:val="center"/>
          </w:tcPr>
          <w:p w14:paraId="2DB9411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31B9E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22CD1E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1.2</w:t>
            </w:r>
          </w:p>
        </w:tc>
        <w:tc>
          <w:tcPr>
            <w:tcW w:w="891" w:type="pct"/>
            <w:shd w:val="clear" w:color="auto" w:fill="auto"/>
            <w:vAlign w:val="center"/>
          </w:tcPr>
          <w:p w14:paraId="757ABC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输送皮带机</w:t>
            </w:r>
          </w:p>
        </w:tc>
        <w:tc>
          <w:tcPr>
            <w:tcW w:w="1815" w:type="pct"/>
            <w:shd w:val="clear" w:color="auto" w:fill="auto"/>
            <w:vAlign w:val="center"/>
          </w:tcPr>
          <w:p w14:paraId="2461A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≥1200mm,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 xml:space="preserve">≥750mm </w:t>
            </w:r>
            <w:r>
              <w:rPr>
                <w:rFonts w:hint="eastAsia" w:ascii="宋体" w:hAnsi="宋体" w:eastAsia="宋体" w:cs="宋体"/>
                <w:sz w:val="24"/>
                <w:szCs w:val="24"/>
                <w:lang w:val="en-US" w:eastAsia="zh-CN"/>
              </w:rPr>
              <w:t>速度</w:t>
            </w:r>
            <w:r>
              <w:rPr>
                <w:rFonts w:hint="eastAsia" w:ascii="宋体" w:hAnsi="宋体" w:eastAsia="宋体" w:cs="宋体"/>
                <w:sz w:val="24"/>
                <w:szCs w:val="24"/>
              </w:rPr>
              <w:t>≥0.35m/s</w:t>
            </w:r>
            <w:r>
              <w:rPr>
                <w:rFonts w:hint="eastAsia" w:ascii="宋体" w:hAnsi="宋体" w:eastAsia="宋体" w:cs="宋体"/>
                <w:sz w:val="24"/>
                <w:szCs w:val="24"/>
                <w:lang w:eastAsia="zh-CN"/>
              </w:rPr>
              <w:t>；</w:t>
            </w:r>
          </w:p>
        </w:tc>
        <w:tc>
          <w:tcPr>
            <w:tcW w:w="471" w:type="pct"/>
            <w:shd w:val="clear" w:color="auto" w:fill="auto"/>
            <w:vAlign w:val="center"/>
          </w:tcPr>
          <w:p w14:paraId="37E153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4A2C3D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1C02A41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2.401</w:t>
            </w:r>
          </w:p>
        </w:tc>
        <w:tc>
          <w:tcPr>
            <w:tcW w:w="541" w:type="pct"/>
            <w:shd w:val="clear" w:color="auto" w:fill="auto"/>
            <w:vAlign w:val="center"/>
          </w:tcPr>
          <w:p w14:paraId="66ABE19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2.401</w:t>
            </w:r>
          </w:p>
        </w:tc>
      </w:tr>
      <w:tr w14:paraId="12B5D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29C6A0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1.3</w:t>
            </w:r>
          </w:p>
        </w:tc>
        <w:tc>
          <w:tcPr>
            <w:tcW w:w="891" w:type="pct"/>
            <w:shd w:val="clear" w:color="auto" w:fill="auto"/>
            <w:vAlign w:val="center"/>
          </w:tcPr>
          <w:p w14:paraId="377C15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称重皮带机</w:t>
            </w:r>
          </w:p>
        </w:tc>
        <w:tc>
          <w:tcPr>
            <w:tcW w:w="1815" w:type="pct"/>
            <w:shd w:val="clear" w:color="auto" w:fill="auto"/>
            <w:vAlign w:val="center"/>
          </w:tcPr>
          <w:p w14:paraId="37FBBE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≥1200mm,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 xml:space="preserve">≥750mm </w:t>
            </w:r>
            <w:r>
              <w:rPr>
                <w:rFonts w:hint="eastAsia" w:ascii="宋体" w:hAnsi="宋体" w:eastAsia="宋体" w:cs="宋体"/>
                <w:sz w:val="24"/>
                <w:szCs w:val="24"/>
                <w:lang w:val="en-US" w:eastAsia="zh-CN"/>
              </w:rPr>
              <w:t>速度</w:t>
            </w:r>
            <w:r>
              <w:rPr>
                <w:rFonts w:hint="eastAsia" w:ascii="宋体" w:hAnsi="宋体" w:eastAsia="宋体" w:cs="宋体"/>
                <w:sz w:val="24"/>
                <w:szCs w:val="24"/>
              </w:rPr>
              <w:t>≥0.35m/s ，含称重单元；</w:t>
            </w:r>
          </w:p>
        </w:tc>
        <w:tc>
          <w:tcPr>
            <w:tcW w:w="471" w:type="pct"/>
            <w:shd w:val="clear" w:color="auto" w:fill="auto"/>
            <w:vAlign w:val="center"/>
          </w:tcPr>
          <w:p w14:paraId="4E141D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4882F7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0B620DD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4.41</w:t>
            </w:r>
          </w:p>
        </w:tc>
        <w:tc>
          <w:tcPr>
            <w:tcW w:w="541" w:type="pct"/>
            <w:shd w:val="clear" w:color="auto" w:fill="auto"/>
            <w:vAlign w:val="center"/>
          </w:tcPr>
          <w:p w14:paraId="7FCC9AD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4.41</w:t>
            </w:r>
          </w:p>
        </w:tc>
      </w:tr>
      <w:tr w14:paraId="532A4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1197F1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1.4</w:t>
            </w:r>
          </w:p>
        </w:tc>
        <w:tc>
          <w:tcPr>
            <w:tcW w:w="891" w:type="pct"/>
            <w:shd w:val="clear" w:color="auto" w:fill="auto"/>
            <w:vAlign w:val="center"/>
          </w:tcPr>
          <w:p w14:paraId="681E6E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X光机配套支腿</w:t>
            </w:r>
          </w:p>
        </w:tc>
        <w:tc>
          <w:tcPr>
            <w:tcW w:w="1815" w:type="pct"/>
            <w:shd w:val="clear" w:color="auto" w:fill="auto"/>
            <w:vAlign w:val="center"/>
          </w:tcPr>
          <w:p w14:paraId="26A62E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X光机配套支腿，保证X光机与输送线水平高度一致且满足使用要求</w:t>
            </w:r>
          </w:p>
        </w:tc>
        <w:tc>
          <w:tcPr>
            <w:tcW w:w="471" w:type="pct"/>
            <w:shd w:val="clear" w:color="auto" w:fill="auto"/>
            <w:vAlign w:val="center"/>
          </w:tcPr>
          <w:p w14:paraId="317E3B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5A0252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1F92BAB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c>
          <w:tcPr>
            <w:tcW w:w="541" w:type="pct"/>
            <w:shd w:val="clear" w:color="auto" w:fill="auto"/>
            <w:vAlign w:val="center"/>
          </w:tcPr>
          <w:p w14:paraId="0BFBF8F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r>
      <w:tr w14:paraId="694D8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1EDCB4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1.5</w:t>
            </w:r>
          </w:p>
        </w:tc>
        <w:tc>
          <w:tcPr>
            <w:tcW w:w="891" w:type="pct"/>
            <w:shd w:val="clear" w:color="auto" w:fill="auto"/>
            <w:vAlign w:val="center"/>
          </w:tcPr>
          <w:p w14:paraId="104316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输送皮带机</w:t>
            </w:r>
          </w:p>
        </w:tc>
        <w:tc>
          <w:tcPr>
            <w:tcW w:w="1815" w:type="pct"/>
            <w:shd w:val="clear" w:color="auto" w:fill="auto"/>
            <w:vAlign w:val="center"/>
          </w:tcPr>
          <w:p w14:paraId="134298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≥3000mm,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 xml:space="preserve">≥750mm </w:t>
            </w:r>
            <w:r>
              <w:rPr>
                <w:rFonts w:hint="eastAsia" w:ascii="宋体" w:hAnsi="宋体" w:eastAsia="宋体" w:cs="宋体"/>
                <w:sz w:val="24"/>
                <w:szCs w:val="24"/>
                <w:lang w:val="en-US" w:eastAsia="zh-CN"/>
              </w:rPr>
              <w:t>速度</w:t>
            </w:r>
            <w:r>
              <w:rPr>
                <w:rFonts w:hint="eastAsia" w:ascii="宋体" w:hAnsi="宋体" w:eastAsia="宋体" w:cs="宋体"/>
                <w:sz w:val="24"/>
                <w:szCs w:val="24"/>
              </w:rPr>
              <w:t>≥0.35m/s；</w:t>
            </w:r>
          </w:p>
        </w:tc>
        <w:tc>
          <w:tcPr>
            <w:tcW w:w="471" w:type="pct"/>
            <w:shd w:val="clear" w:color="auto" w:fill="auto"/>
            <w:vAlign w:val="center"/>
          </w:tcPr>
          <w:p w14:paraId="30AD4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6CF194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16ECAD5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41" w:type="pct"/>
            <w:shd w:val="clear" w:color="auto" w:fill="auto"/>
            <w:vAlign w:val="center"/>
          </w:tcPr>
          <w:p w14:paraId="753896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r>
      <w:tr w14:paraId="26804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3BC016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1.6</w:t>
            </w:r>
          </w:p>
        </w:tc>
        <w:tc>
          <w:tcPr>
            <w:tcW w:w="891" w:type="pct"/>
            <w:shd w:val="clear" w:color="auto" w:fill="auto"/>
            <w:vAlign w:val="center"/>
          </w:tcPr>
          <w:p w14:paraId="6E5F4C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顶升式移载机</w:t>
            </w:r>
          </w:p>
        </w:tc>
        <w:tc>
          <w:tcPr>
            <w:tcW w:w="1815" w:type="pct"/>
            <w:shd w:val="clear" w:color="auto" w:fill="auto"/>
            <w:vAlign w:val="center"/>
          </w:tcPr>
          <w:p w14:paraId="579DA5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≥1500mm,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 xml:space="preserve">≥750mm </w:t>
            </w:r>
            <w:r>
              <w:rPr>
                <w:rFonts w:hint="eastAsia" w:ascii="宋体" w:hAnsi="宋体" w:eastAsia="宋体" w:cs="宋体"/>
                <w:sz w:val="24"/>
                <w:szCs w:val="24"/>
                <w:lang w:val="en-US" w:eastAsia="zh-CN"/>
              </w:rPr>
              <w:t>速度</w:t>
            </w:r>
            <w:r>
              <w:rPr>
                <w:rFonts w:hint="eastAsia" w:ascii="宋体" w:hAnsi="宋体" w:eastAsia="宋体" w:cs="宋体"/>
                <w:sz w:val="24"/>
                <w:szCs w:val="24"/>
              </w:rPr>
              <w:t>≥0.6m/s；</w:t>
            </w:r>
          </w:p>
        </w:tc>
        <w:tc>
          <w:tcPr>
            <w:tcW w:w="471" w:type="pct"/>
            <w:shd w:val="clear" w:color="auto" w:fill="auto"/>
            <w:vAlign w:val="center"/>
          </w:tcPr>
          <w:p w14:paraId="15C325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473F33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2E7A08A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5.39</w:t>
            </w:r>
          </w:p>
        </w:tc>
        <w:tc>
          <w:tcPr>
            <w:tcW w:w="541" w:type="pct"/>
            <w:shd w:val="clear" w:color="auto" w:fill="auto"/>
            <w:vAlign w:val="center"/>
          </w:tcPr>
          <w:p w14:paraId="58496C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5.39</w:t>
            </w:r>
          </w:p>
        </w:tc>
      </w:tr>
      <w:tr w14:paraId="3AEC4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6368DE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1.7</w:t>
            </w:r>
          </w:p>
        </w:tc>
        <w:tc>
          <w:tcPr>
            <w:tcW w:w="891" w:type="pct"/>
            <w:shd w:val="clear" w:color="auto" w:fill="auto"/>
            <w:vAlign w:val="center"/>
          </w:tcPr>
          <w:p w14:paraId="3DB4A2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无动力滚筒</w:t>
            </w:r>
          </w:p>
        </w:tc>
        <w:tc>
          <w:tcPr>
            <w:tcW w:w="1815" w:type="pct"/>
            <w:shd w:val="clear" w:color="auto" w:fill="auto"/>
            <w:vAlign w:val="center"/>
          </w:tcPr>
          <w:p w14:paraId="04DB1B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长</w:t>
            </w:r>
            <w:r>
              <w:rPr>
                <w:rFonts w:hint="eastAsia" w:ascii="宋体" w:hAnsi="宋体" w:eastAsia="宋体" w:cs="宋体"/>
                <w:sz w:val="24"/>
                <w:szCs w:val="24"/>
              </w:rPr>
              <w:t>≥2200mm,</w:t>
            </w:r>
            <w:r>
              <w:rPr>
                <w:rFonts w:hint="eastAsia" w:ascii="宋体" w:hAnsi="宋体" w:eastAsia="宋体" w:cs="宋体"/>
                <w:sz w:val="24"/>
                <w:szCs w:val="24"/>
                <w:lang w:val="en-US" w:eastAsia="zh-CN"/>
              </w:rPr>
              <w:t>宽</w:t>
            </w:r>
            <w:r>
              <w:rPr>
                <w:rFonts w:hint="eastAsia" w:ascii="宋体" w:hAnsi="宋体" w:eastAsia="宋体" w:cs="宋体"/>
                <w:sz w:val="24"/>
                <w:szCs w:val="24"/>
              </w:rPr>
              <w:t>≥1000mm,</w:t>
            </w:r>
            <w:r>
              <w:rPr>
                <w:rFonts w:hint="eastAsia" w:ascii="宋体" w:hAnsi="宋体" w:eastAsia="宋体" w:cs="宋体"/>
                <w:sz w:val="24"/>
                <w:szCs w:val="24"/>
                <w:lang w:val="en-US" w:eastAsia="zh-CN"/>
              </w:rPr>
              <w:t>高</w:t>
            </w:r>
            <w:r>
              <w:rPr>
                <w:rFonts w:hint="eastAsia" w:ascii="宋体" w:hAnsi="宋体" w:eastAsia="宋体" w:cs="宋体"/>
                <w:sz w:val="24"/>
                <w:szCs w:val="24"/>
              </w:rPr>
              <w:t>=750-450mm</w:t>
            </w:r>
            <w:r>
              <w:rPr>
                <w:rFonts w:hint="eastAsia" w:ascii="宋体" w:hAnsi="宋体" w:eastAsia="宋体" w:cs="宋体"/>
                <w:sz w:val="24"/>
                <w:szCs w:val="24"/>
                <w:lang w:eastAsia="zh-CN"/>
              </w:rPr>
              <w:t>；</w:t>
            </w:r>
          </w:p>
        </w:tc>
        <w:tc>
          <w:tcPr>
            <w:tcW w:w="471" w:type="pct"/>
            <w:shd w:val="clear" w:color="auto" w:fill="auto"/>
            <w:vAlign w:val="center"/>
          </w:tcPr>
          <w:p w14:paraId="6F673E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400" w:type="pct"/>
            <w:shd w:val="clear" w:color="auto" w:fill="auto"/>
            <w:vAlign w:val="center"/>
          </w:tcPr>
          <w:p w14:paraId="22B16C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5FA1D2B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0.686</w:t>
            </w:r>
          </w:p>
        </w:tc>
        <w:tc>
          <w:tcPr>
            <w:tcW w:w="541" w:type="pct"/>
            <w:shd w:val="clear" w:color="auto" w:fill="auto"/>
            <w:vAlign w:val="center"/>
          </w:tcPr>
          <w:p w14:paraId="32DD0ED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1.372</w:t>
            </w:r>
          </w:p>
        </w:tc>
      </w:tr>
      <w:tr w14:paraId="70CC0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7EB7F1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1.8</w:t>
            </w:r>
          </w:p>
        </w:tc>
        <w:tc>
          <w:tcPr>
            <w:tcW w:w="891" w:type="pct"/>
            <w:shd w:val="clear" w:color="auto" w:fill="auto"/>
            <w:vAlign w:val="center"/>
          </w:tcPr>
          <w:p w14:paraId="15BAAF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不锈钢开拆台</w:t>
            </w:r>
          </w:p>
        </w:tc>
        <w:tc>
          <w:tcPr>
            <w:tcW w:w="1815" w:type="pct"/>
            <w:shd w:val="clear" w:color="auto" w:fill="auto"/>
            <w:vAlign w:val="center"/>
          </w:tcPr>
          <w:p w14:paraId="0F8446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桌面304不锈钢</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长</w:t>
            </w:r>
            <w:r>
              <w:rPr>
                <w:rFonts w:hint="eastAsia" w:ascii="宋体" w:hAnsi="宋体" w:eastAsia="宋体" w:cs="宋体"/>
                <w:sz w:val="24"/>
                <w:szCs w:val="24"/>
              </w:rPr>
              <w:t>≥</w:t>
            </w:r>
            <w:r>
              <w:rPr>
                <w:rFonts w:hint="eastAsia" w:ascii="宋体" w:hAnsi="宋体" w:eastAsia="宋体" w:cs="宋体"/>
                <w:sz w:val="24"/>
                <w:szCs w:val="24"/>
                <w:lang w:val="en-US" w:eastAsia="zh-CN"/>
              </w:rPr>
              <w:t>1.5</w:t>
            </w:r>
            <w:r>
              <w:rPr>
                <w:rFonts w:hint="eastAsia" w:ascii="宋体" w:hAnsi="宋体" w:eastAsia="宋体" w:cs="宋体"/>
                <w:sz w:val="24"/>
                <w:szCs w:val="24"/>
              </w:rPr>
              <w:t>m,</w:t>
            </w:r>
            <w:r>
              <w:rPr>
                <w:rFonts w:hint="eastAsia" w:ascii="宋体" w:hAnsi="宋体" w:eastAsia="宋体" w:cs="宋体"/>
                <w:sz w:val="24"/>
                <w:szCs w:val="24"/>
                <w:lang w:val="en-US" w:eastAsia="zh-CN"/>
              </w:rPr>
              <w:t>宽</w:t>
            </w:r>
            <w:r>
              <w:rPr>
                <w:rFonts w:hint="eastAsia" w:ascii="宋体" w:hAnsi="宋体" w:eastAsia="宋体" w:cs="宋体"/>
                <w:sz w:val="24"/>
                <w:szCs w:val="24"/>
              </w:rPr>
              <w:t>≥</w:t>
            </w:r>
            <w:r>
              <w:rPr>
                <w:rFonts w:hint="eastAsia" w:ascii="宋体" w:hAnsi="宋体" w:eastAsia="宋体" w:cs="宋体"/>
                <w:sz w:val="24"/>
                <w:szCs w:val="24"/>
                <w:lang w:val="en-US" w:eastAsia="zh-CN"/>
              </w:rPr>
              <w:t>0.6</w:t>
            </w:r>
            <w:r>
              <w:rPr>
                <w:rFonts w:hint="eastAsia" w:ascii="宋体" w:hAnsi="宋体" w:eastAsia="宋体" w:cs="宋体"/>
                <w:sz w:val="24"/>
                <w:szCs w:val="24"/>
              </w:rPr>
              <w:t>m,</w:t>
            </w:r>
            <w:r>
              <w:rPr>
                <w:rFonts w:hint="eastAsia" w:ascii="宋体" w:hAnsi="宋体" w:eastAsia="宋体" w:cs="宋体"/>
                <w:sz w:val="24"/>
                <w:szCs w:val="24"/>
                <w:lang w:val="en-US" w:eastAsia="zh-CN"/>
              </w:rPr>
              <w:t>高</w:t>
            </w:r>
            <w:r>
              <w:rPr>
                <w:rFonts w:hint="eastAsia" w:ascii="宋体" w:hAnsi="宋体" w:eastAsia="宋体" w:cs="宋体"/>
                <w:sz w:val="24"/>
                <w:szCs w:val="24"/>
              </w:rPr>
              <w:t>≥</w:t>
            </w:r>
            <w:r>
              <w:rPr>
                <w:rFonts w:hint="eastAsia" w:ascii="宋体" w:hAnsi="宋体" w:eastAsia="宋体" w:cs="宋体"/>
                <w:sz w:val="24"/>
                <w:szCs w:val="24"/>
                <w:lang w:val="en-US" w:eastAsia="zh-CN"/>
              </w:rPr>
              <w:t>0.9</w:t>
            </w:r>
            <w:r>
              <w:rPr>
                <w:rFonts w:hint="eastAsia" w:ascii="宋体" w:hAnsi="宋体" w:eastAsia="宋体" w:cs="宋体"/>
                <w:sz w:val="24"/>
                <w:szCs w:val="24"/>
              </w:rPr>
              <w:t>m</w:t>
            </w:r>
            <w:r>
              <w:rPr>
                <w:rFonts w:hint="eastAsia" w:ascii="宋体" w:hAnsi="宋体" w:eastAsia="宋体" w:cs="宋体"/>
                <w:sz w:val="24"/>
                <w:szCs w:val="24"/>
                <w:lang w:eastAsia="zh-CN"/>
              </w:rPr>
              <w:t>；</w:t>
            </w:r>
          </w:p>
        </w:tc>
        <w:tc>
          <w:tcPr>
            <w:tcW w:w="471" w:type="pct"/>
            <w:shd w:val="clear" w:color="auto" w:fill="auto"/>
            <w:vAlign w:val="center"/>
          </w:tcPr>
          <w:p w14:paraId="235D32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0637CE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6A16F60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c>
          <w:tcPr>
            <w:tcW w:w="541" w:type="pct"/>
            <w:shd w:val="clear" w:color="auto" w:fill="auto"/>
            <w:vAlign w:val="center"/>
          </w:tcPr>
          <w:p w14:paraId="5AD3D49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r>
      <w:tr w14:paraId="6BB9B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27D31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891" w:type="pct"/>
            <w:shd w:val="clear" w:color="auto" w:fill="auto"/>
            <w:vAlign w:val="center"/>
          </w:tcPr>
          <w:p w14:paraId="5270C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控制系统</w:t>
            </w:r>
          </w:p>
        </w:tc>
        <w:tc>
          <w:tcPr>
            <w:tcW w:w="1815" w:type="pct"/>
            <w:shd w:val="clear" w:color="auto" w:fill="auto"/>
            <w:vAlign w:val="center"/>
          </w:tcPr>
          <w:p w14:paraId="119A2C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1" w:type="pct"/>
            <w:shd w:val="clear" w:color="auto" w:fill="auto"/>
            <w:vAlign w:val="center"/>
          </w:tcPr>
          <w:p w14:paraId="681E1A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400" w:type="pct"/>
            <w:shd w:val="clear" w:color="auto" w:fill="auto"/>
            <w:vAlign w:val="center"/>
          </w:tcPr>
          <w:p w14:paraId="0BD265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03" w:type="pct"/>
            <w:shd w:val="clear" w:color="auto" w:fill="auto"/>
            <w:vAlign w:val="center"/>
          </w:tcPr>
          <w:p w14:paraId="43B37023">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41" w:type="pct"/>
            <w:shd w:val="clear" w:color="auto" w:fill="auto"/>
            <w:vAlign w:val="center"/>
          </w:tcPr>
          <w:p w14:paraId="35E9A51E">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77C0F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104381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2.1</w:t>
            </w:r>
          </w:p>
        </w:tc>
        <w:tc>
          <w:tcPr>
            <w:tcW w:w="891" w:type="pct"/>
            <w:shd w:val="clear" w:color="auto" w:fill="auto"/>
            <w:vAlign w:val="center"/>
          </w:tcPr>
          <w:p w14:paraId="0EB805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扫描工作站</w:t>
            </w:r>
          </w:p>
        </w:tc>
        <w:tc>
          <w:tcPr>
            <w:tcW w:w="1815" w:type="pct"/>
            <w:shd w:val="clear" w:color="auto" w:fill="auto"/>
            <w:vAlign w:val="center"/>
          </w:tcPr>
          <w:p w14:paraId="137A43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CPU：核心数≥6，主频≥3.0GHz，制作工艺10纳米以下</w:t>
            </w:r>
          </w:p>
          <w:p w14:paraId="4382CA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内存：容量≥8G，代数≥DDR4</w:t>
            </w:r>
          </w:p>
          <w:p w14:paraId="1643E9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硬盘：总容量≥1T</w:t>
            </w:r>
          </w:p>
          <w:p w14:paraId="5A4A1F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显示器：液晶，尺寸≥21.5"</w:t>
            </w:r>
          </w:p>
          <w:p w14:paraId="14EBE9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预装Windows操作系统，配套鼠标键盘，配套操作台</w:t>
            </w:r>
          </w:p>
        </w:tc>
        <w:tc>
          <w:tcPr>
            <w:tcW w:w="471" w:type="pct"/>
            <w:shd w:val="clear" w:color="auto" w:fill="auto"/>
            <w:vAlign w:val="center"/>
          </w:tcPr>
          <w:p w14:paraId="510525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745428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4ACF46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c>
          <w:tcPr>
            <w:tcW w:w="541" w:type="pct"/>
            <w:shd w:val="clear" w:color="auto" w:fill="auto"/>
            <w:vAlign w:val="center"/>
          </w:tcPr>
          <w:p w14:paraId="6AAD54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r>
      <w:tr w14:paraId="371F4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31330D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2.2</w:t>
            </w:r>
          </w:p>
        </w:tc>
        <w:tc>
          <w:tcPr>
            <w:tcW w:w="891" w:type="pct"/>
            <w:shd w:val="clear" w:color="auto" w:fill="auto"/>
            <w:vAlign w:val="center"/>
          </w:tcPr>
          <w:p w14:paraId="6648C0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手持式条码枪</w:t>
            </w:r>
          </w:p>
        </w:tc>
        <w:tc>
          <w:tcPr>
            <w:tcW w:w="1815" w:type="pct"/>
            <w:shd w:val="clear" w:color="auto" w:fill="auto"/>
            <w:vAlign w:val="center"/>
          </w:tcPr>
          <w:p w14:paraId="66D250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解码类型：一维/二维码</w:t>
            </w:r>
          </w:p>
        </w:tc>
        <w:tc>
          <w:tcPr>
            <w:tcW w:w="471" w:type="pct"/>
            <w:shd w:val="clear" w:color="auto" w:fill="auto"/>
            <w:vAlign w:val="center"/>
          </w:tcPr>
          <w:p w14:paraId="471840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741463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个</w:t>
            </w:r>
          </w:p>
        </w:tc>
        <w:tc>
          <w:tcPr>
            <w:tcW w:w="503" w:type="pct"/>
            <w:shd w:val="clear" w:color="auto" w:fill="auto"/>
            <w:vAlign w:val="center"/>
          </w:tcPr>
          <w:p w14:paraId="5727AB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0.049</w:t>
            </w:r>
          </w:p>
        </w:tc>
        <w:tc>
          <w:tcPr>
            <w:tcW w:w="541" w:type="pct"/>
            <w:shd w:val="clear" w:color="auto" w:fill="auto"/>
            <w:vAlign w:val="center"/>
          </w:tcPr>
          <w:p w14:paraId="5777BCA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0.049</w:t>
            </w:r>
          </w:p>
        </w:tc>
      </w:tr>
      <w:tr w14:paraId="58905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376A3D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2.3</w:t>
            </w:r>
          </w:p>
        </w:tc>
        <w:tc>
          <w:tcPr>
            <w:tcW w:w="891" w:type="pct"/>
            <w:shd w:val="clear" w:color="auto" w:fill="auto"/>
            <w:vAlign w:val="center"/>
          </w:tcPr>
          <w:p w14:paraId="1B325E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控制系统硬件-PLC控制器</w:t>
            </w:r>
          </w:p>
        </w:tc>
        <w:tc>
          <w:tcPr>
            <w:tcW w:w="1815" w:type="pct"/>
            <w:shd w:val="clear" w:color="auto" w:fill="auto"/>
            <w:vAlign w:val="center"/>
          </w:tcPr>
          <w:p w14:paraId="617ADD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以太网通讯端口、 超高速计数器 (HSC)和脉冲序列输出(PTO)，可以扩展更多I/O模块、快速HSC/PTO和额外的串口。须支持DF1/DH485/Modbus RTU/DNP3/ASCII协议，须内置以太网端口，同时支持EtherNet/IP对等信息传输。各模块可带电更换，各模块无槽位限制带有自论断功能，可以自动诊断出系统中任一个部件是否故障系统平均无故障时间大于200000小时。具有良好的兼容性并易于升级，能实现与主要厂商的产品通信</w:t>
            </w:r>
            <w:r>
              <w:rPr>
                <w:rFonts w:hint="eastAsia" w:ascii="宋体" w:hAnsi="宋体" w:eastAsia="宋体" w:cs="宋体"/>
                <w:sz w:val="24"/>
                <w:szCs w:val="24"/>
                <w:lang w:eastAsia="zh-CN"/>
              </w:rPr>
              <w:t>。</w:t>
            </w:r>
          </w:p>
        </w:tc>
        <w:tc>
          <w:tcPr>
            <w:tcW w:w="471" w:type="pct"/>
            <w:shd w:val="clear" w:color="auto" w:fill="auto"/>
            <w:vAlign w:val="center"/>
          </w:tcPr>
          <w:p w14:paraId="354F96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4F806F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054B5F1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4.9</w:t>
            </w:r>
          </w:p>
        </w:tc>
        <w:tc>
          <w:tcPr>
            <w:tcW w:w="541" w:type="pct"/>
            <w:shd w:val="clear" w:color="auto" w:fill="auto"/>
            <w:vAlign w:val="center"/>
          </w:tcPr>
          <w:p w14:paraId="092992D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4.9</w:t>
            </w:r>
          </w:p>
        </w:tc>
      </w:tr>
      <w:tr w14:paraId="6BA2A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506" w:hRule="atLeast"/>
        </w:trPr>
        <w:tc>
          <w:tcPr>
            <w:tcW w:w="376" w:type="pct"/>
            <w:shd w:val="clear" w:color="auto" w:fill="auto"/>
            <w:vAlign w:val="center"/>
          </w:tcPr>
          <w:p w14:paraId="2EC5C8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2.4</w:t>
            </w:r>
          </w:p>
        </w:tc>
        <w:tc>
          <w:tcPr>
            <w:tcW w:w="891" w:type="pct"/>
            <w:shd w:val="clear" w:color="auto" w:fill="auto"/>
            <w:vAlign w:val="center"/>
          </w:tcPr>
          <w:p w14:paraId="2854A5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控制系统硬件-电气柜</w:t>
            </w:r>
          </w:p>
        </w:tc>
        <w:tc>
          <w:tcPr>
            <w:tcW w:w="1815" w:type="pct"/>
            <w:shd w:val="clear" w:color="auto" w:fill="auto"/>
            <w:vAlign w:val="center"/>
          </w:tcPr>
          <w:p w14:paraId="4DB29B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 xml:space="preserve">控制柜放置控制器、直流电源、电器元件等； 综合控制柜具有低压控制柜，负责设备启动、停止、 按照控制流程执行相关指令，实现货物输送、分拣、 与上位机通讯等功能过载、短路、缺相保护等保护功能。 </w:t>
            </w:r>
          </w:p>
        </w:tc>
        <w:tc>
          <w:tcPr>
            <w:tcW w:w="471" w:type="pct"/>
            <w:shd w:val="clear" w:color="auto" w:fill="auto"/>
            <w:vAlign w:val="center"/>
          </w:tcPr>
          <w:p w14:paraId="292C2C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2D1F63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56B0B0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3.92</w:t>
            </w:r>
          </w:p>
        </w:tc>
        <w:tc>
          <w:tcPr>
            <w:tcW w:w="541" w:type="pct"/>
            <w:shd w:val="clear" w:color="auto" w:fill="auto"/>
            <w:vAlign w:val="center"/>
          </w:tcPr>
          <w:p w14:paraId="1DC488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3.92</w:t>
            </w:r>
          </w:p>
        </w:tc>
      </w:tr>
      <w:tr w14:paraId="01A01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50A0C6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2.5</w:t>
            </w:r>
          </w:p>
        </w:tc>
        <w:tc>
          <w:tcPr>
            <w:tcW w:w="891" w:type="pct"/>
            <w:shd w:val="clear" w:color="auto" w:fill="auto"/>
            <w:vAlign w:val="center"/>
          </w:tcPr>
          <w:p w14:paraId="10734B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控制系统硬件-光电开关</w:t>
            </w:r>
          </w:p>
        </w:tc>
        <w:tc>
          <w:tcPr>
            <w:tcW w:w="1815" w:type="pct"/>
            <w:shd w:val="clear" w:color="auto" w:fill="auto"/>
            <w:vAlign w:val="center"/>
          </w:tcPr>
          <w:p w14:paraId="01375D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对射式光电检测开关，对货物位置进行实时追踪</w:t>
            </w:r>
          </w:p>
        </w:tc>
        <w:tc>
          <w:tcPr>
            <w:tcW w:w="471" w:type="pct"/>
            <w:shd w:val="clear" w:color="auto" w:fill="auto"/>
            <w:vAlign w:val="center"/>
          </w:tcPr>
          <w:p w14:paraId="09B4EE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2CBFC2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4DF796D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41" w:type="pct"/>
            <w:shd w:val="clear" w:color="auto" w:fill="auto"/>
            <w:vAlign w:val="center"/>
          </w:tcPr>
          <w:p w14:paraId="6E53340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54AC1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6BF9C6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2.6</w:t>
            </w:r>
          </w:p>
        </w:tc>
        <w:tc>
          <w:tcPr>
            <w:tcW w:w="891" w:type="pct"/>
            <w:shd w:val="clear" w:color="auto" w:fill="auto"/>
            <w:vAlign w:val="center"/>
          </w:tcPr>
          <w:p w14:paraId="14B16C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在线查验下位机控制系统</w:t>
            </w:r>
          </w:p>
        </w:tc>
        <w:tc>
          <w:tcPr>
            <w:tcW w:w="1815" w:type="pct"/>
            <w:shd w:val="clear" w:color="auto" w:fill="auto"/>
            <w:vAlign w:val="center"/>
          </w:tcPr>
          <w:p w14:paraId="0CAB30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PLC控制软件，实现软件系统与机械部分运行、控制等功能。</w:t>
            </w:r>
          </w:p>
        </w:tc>
        <w:tc>
          <w:tcPr>
            <w:tcW w:w="471" w:type="pct"/>
            <w:shd w:val="clear" w:color="auto" w:fill="auto"/>
            <w:vAlign w:val="center"/>
          </w:tcPr>
          <w:p w14:paraId="45E63F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57150C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31B2FD1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6D3524E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475F7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6D6510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2.7</w:t>
            </w:r>
          </w:p>
        </w:tc>
        <w:tc>
          <w:tcPr>
            <w:tcW w:w="891" w:type="pct"/>
            <w:shd w:val="clear" w:color="auto" w:fill="auto"/>
            <w:vAlign w:val="center"/>
          </w:tcPr>
          <w:p w14:paraId="7D4EFF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在线查验上位机控制系统</w:t>
            </w:r>
          </w:p>
        </w:tc>
        <w:tc>
          <w:tcPr>
            <w:tcW w:w="1815" w:type="pct"/>
            <w:shd w:val="clear" w:color="auto" w:fill="auto"/>
            <w:vAlign w:val="center"/>
          </w:tcPr>
          <w:p w14:paraId="4FF407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上包操作主系统，系统启动、停止、条码识别，过机记录显示等</w:t>
            </w:r>
          </w:p>
        </w:tc>
        <w:tc>
          <w:tcPr>
            <w:tcW w:w="471" w:type="pct"/>
            <w:shd w:val="clear" w:color="auto" w:fill="auto"/>
            <w:vAlign w:val="center"/>
          </w:tcPr>
          <w:p w14:paraId="1EC9BA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304FFB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33C31A8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2011628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6BC4C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227F87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2.8</w:t>
            </w:r>
          </w:p>
        </w:tc>
        <w:tc>
          <w:tcPr>
            <w:tcW w:w="891" w:type="pct"/>
            <w:shd w:val="clear" w:color="auto" w:fill="auto"/>
            <w:vAlign w:val="center"/>
          </w:tcPr>
          <w:p w14:paraId="5DEC0F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数据采集与传输系统</w:t>
            </w:r>
          </w:p>
        </w:tc>
        <w:tc>
          <w:tcPr>
            <w:tcW w:w="1815" w:type="pct"/>
            <w:shd w:val="clear" w:color="auto" w:fill="auto"/>
            <w:vAlign w:val="center"/>
          </w:tcPr>
          <w:p w14:paraId="718085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用于动态秤和相应传输设备上的数据采集，能够准确的采集相关信息，与相关硬件无缝对接。</w:t>
            </w:r>
          </w:p>
        </w:tc>
        <w:tc>
          <w:tcPr>
            <w:tcW w:w="471" w:type="pct"/>
            <w:shd w:val="clear" w:color="auto" w:fill="auto"/>
            <w:vAlign w:val="center"/>
          </w:tcPr>
          <w:p w14:paraId="6BC5FA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0296C7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2E6733D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03AA5A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0196D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6F2907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2.9</w:t>
            </w:r>
          </w:p>
        </w:tc>
        <w:tc>
          <w:tcPr>
            <w:tcW w:w="891" w:type="pct"/>
            <w:shd w:val="clear" w:color="auto" w:fill="auto"/>
            <w:vAlign w:val="center"/>
          </w:tcPr>
          <w:p w14:paraId="54584C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流水线状态监控系统</w:t>
            </w:r>
          </w:p>
        </w:tc>
        <w:tc>
          <w:tcPr>
            <w:tcW w:w="1815" w:type="pct"/>
            <w:shd w:val="clear" w:color="auto" w:fill="auto"/>
            <w:vAlign w:val="center"/>
          </w:tcPr>
          <w:p w14:paraId="1F7E0F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实时监测整条查验线的设备情况，如有机械问题时进行相应的提示，保证系统正常运转。</w:t>
            </w:r>
          </w:p>
        </w:tc>
        <w:tc>
          <w:tcPr>
            <w:tcW w:w="471" w:type="pct"/>
            <w:shd w:val="clear" w:color="auto" w:fill="auto"/>
            <w:vAlign w:val="center"/>
          </w:tcPr>
          <w:p w14:paraId="124938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11D435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164E42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478AD13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61DB3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58E649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2.10</w:t>
            </w:r>
          </w:p>
        </w:tc>
        <w:tc>
          <w:tcPr>
            <w:tcW w:w="891" w:type="pct"/>
            <w:shd w:val="clear" w:color="auto" w:fill="auto"/>
            <w:vAlign w:val="center"/>
          </w:tcPr>
          <w:p w14:paraId="1EAA71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智能容错系统</w:t>
            </w:r>
          </w:p>
        </w:tc>
        <w:tc>
          <w:tcPr>
            <w:tcW w:w="1815" w:type="pct"/>
            <w:shd w:val="clear" w:color="auto" w:fill="auto"/>
            <w:vAlign w:val="center"/>
          </w:tcPr>
          <w:p w14:paraId="124403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系统需具备自动恢复功能：当出现人为推拉、光电器件误判、快件被阻挡、快件叠加等情况下，不允许连续出现快件EDI信息和X光图像不对应的情况。系统检测到以上情况发生时，应该能够自动进行恢复，保证后续快件的EDI信息和X光图像不错位；</w:t>
            </w:r>
          </w:p>
        </w:tc>
        <w:tc>
          <w:tcPr>
            <w:tcW w:w="471" w:type="pct"/>
            <w:shd w:val="clear" w:color="auto" w:fill="auto"/>
            <w:vAlign w:val="center"/>
          </w:tcPr>
          <w:p w14:paraId="3A4323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17F0B0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0B14BCC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0B23556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38B8B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22FF49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891" w:type="pct"/>
            <w:shd w:val="clear" w:color="auto" w:fill="auto"/>
            <w:vAlign w:val="center"/>
          </w:tcPr>
          <w:p w14:paraId="1D6DCC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查验成像系统</w:t>
            </w:r>
          </w:p>
        </w:tc>
        <w:tc>
          <w:tcPr>
            <w:tcW w:w="1815" w:type="pct"/>
            <w:shd w:val="clear" w:color="auto" w:fill="auto"/>
            <w:vAlign w:val="center"/>
          </w:tcPr>
          <w:p w14:paraId="3C5DB2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1" w:type="pct"/>
            <w:shd w:val="clear" w:color="auto" w:fill="auto"/>
            <w:vAlign w:val="center"/>
          </w:tcPr>
          <w:p w14:paraId="6B5DB0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400" w:type="pct"/>
            <w:shd w:val="clear" w:color="auto" w:fill="auto"/>
            <w:vAlign w:val="center"/>
          </w:tcPr>
          <w:p w14:paraId="53A91E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03" w:type="pct"/>
            <w:shd w:val="clear" w:color="auto" w:fill="auto"/>
            <w:vAlign w:val="center"/>
          </w:tcPr>
          <w:p w14:paraId="43EA476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p>
        </w:tc>
        <w:tc>
          <w:tcPr>
            <w:tcW w:w="541" w:type="pct"/>
            <w:shd w:val="clear" w:color="auto" w:fill="auto"/>
            <w:vAlign w:val="center"/>
          </w:tcPr>
          <w:p w14:paraId="5DB8817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p>
        </w:tc>
      </w:tr>
      <w:tr w14:paraId="2FE98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6B0B74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3.1</w:t>
            </w:r>
          </w:p>
        </w:tc>
        <w:tc>
          <w:tcPr>
            <w:tcW w:w="891" w:type="pct"/>
            <w:shd w:val="clear" w:color="auto" w:fill="auto"/>
            <w:vAlign w:val="center"/>
          </w:tcPr>
          <w:p w14:paraId="4A3FCF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X光机</w:t>
            </w:r>
            <w:r>
              <w:rPr>
                <w:rFonts w:hint="eastAsia" w:ascii="宋体" w:hAnsi="宋体" w:eastAsia="宋体" w:cs="宋体"/>
                <w:b/>
                <w:bCs/>
                <w:sz w:val="24"/>
                <w:szCs w:val="24"/>
                <w:lang w:val="en-US" w:eastAsia="zh-CN"/>
              </w:rPr>
              <w:t>（评标项7）</w:t>
            </w:r>
          </w:p>
        </w:tc>
        <w:tc>
          <w:tcPr>
            <w:tcW w:w="1815" w:type="pct"/>
            <w:shd w:val="clear" w:color="auto" w:fill="auto"/>
            <w:vAlign w:val="center"/>
          </w:tcPr>
          <w:p w14:paraId="231F23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双视角</w:t>
            </w:r>
          </w:p>
          <w:p w14:paraId="66FCB4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通道尺寸：≥1000mm(宽)</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*1000mm(高),最大载荷：200Kg(平均分布)</w:t>
            </w:r>
          </w:p>
        </w:tc>
        <w:tc>
          <w:tcPr>
            <w:tcW w:w="471" w:type="pct"/>
            <w:shd w:val="clear" w:color="auto" w:fill="auto"/>
            <w:vAlign w:val="center"/>
          </w:tcPr>
          <w:p w14:paraId="69449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1D8CF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2B29C5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41" w:type="pct"/>
            <w:shd w:val="clear" w:color="auto" w:fill="auto"/>
            <w:vAlign w:val="center"/>
          </w:tcPr>
          <w:p w14:paraId="316834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r>
      <w:tr w14:paraId="6898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28C12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3.2</w:t>
            </w:r>
          </w:p>
        </w:tc>
        <w:tc>
          <w:tcPr>
            <w:tcW w:w="891" w:type="pct"/>
            <w:shd w:val="clear" w:color="auto" w:fill="auto"/>
            <w:vAlign w:val="center"/>
          </w:tcPr>
          <w:p w14:paraId="22A684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default" w:ascii="宋体" w:hAnsi="宋体" w:eastAsia="宋体" w:cs="宋体"/>
                <w:sz w:val="24"/>
                <w:szCs w:val="24"/>
                <w:highlight w:val="none"/>
                <w:lang w:val="en-US"/>
              </w:rPr>
            </w:pPr>
            <w:r>
              <w:rPr>
                <w:rFonts w:hint="eastAsia" w:ascii="宋体" w:hAnsi="宋体" w:eastAsia="宋体" w:cs="宋体"/>
                <w:sz w:val="24"/>
                <w:szCs w:val="24"/>
                <w:highlight w:val="none"/>
                <w:lang w:val="en-US" w:eastAsia="zh-CN"/>
              </w:rPr>
              <w:t>同屏比对工作站</w:t>
            </w:r>
          </w:p>
        </w:tc>
        <w:tc>
          <w:tcPr>
            <w:tcW w:w="1815" w:type="pct"/>
            <w:shd w:val="clear" w:color="auto" w:fill="auto"/>
            <w:vAlign w:val="center"/>
          </w:tcPr>
          <w:p w14:paraId="21D494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CPU：核心数≥6，主频≥3.0GHz，制作工艺10纳米以下</w:t>
            </w:r>
          </w:p>
          <w:p w14:paraId="371346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内存：容量≥8G，代数≥DDR4</w:t>
            </w:r>
          </w:p>
          <w:p w14:paraId="65399A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硬盘：总容量≥2T</w:t>
            </w:r>
          </w:p>
          <w:p w14:paraId="33D66A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显示器：液晶，尺寸≥21.5"</w:t>
            </w:r>
          </w:p>
          <w:p w14:paraId="1EA6EB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预装Windows操作系统，配套鼠标键盘</w:t>
            </w:r>
          </w:p>
        </w:tc>
        <w:tc>
          <w:tcPr>
            <w:tcW w:w="471" w:type="pct"/>
            <w:shd w:val="clear" w:color="auto" w:fill="auto"/>
            <w:vAlign w:val="center"/>
          </w:tcPr>
          <w:p w14:paraId="43C481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400" w:type="pct"/>
            <w:shd w:val="clear" w:color="auto" w:fill="auto"/>
            <w:vAlign w:val="center"/>
          </w:tcPr>
          <w:p w14:paraId="02712F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09E0A0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0.686</w:t>
            </w:r>
          </w:p>
        </w:tc>
        <w:tc>
          <w:tcPr>
            <w:tcW w:w="541" w:type="pct"/>
            <w:shd w:val="clear" w:color="auto" w:fill="auto"/>
            <w:vAlign w:val="center"/>
          </w:tcPr>
          <w:p w14:paraId="32AF96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1.372</w:t>
            </w:r>
          </w:p>
        </w:tc>
      </w:tr>
      <w:tr w14:paraId="5E7C4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187E3E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3.3</w:t>
            </w:r>
          </w:p>
        </w:tc>
        <w:tc>
          <w:tcPr>
            <w:tcW w:w="891" w:type="pct"/>
            <w:shd w:val="clear" w:color="auto" w:fill="auto"/>
            <w:vAlign w:val="center"/>
          </w:tcPr>
          <w:p w14:paraId="60E915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图像服务器</w:t>
            </w:r>
          </w:p>
        </w:tc>
        <w:tc>
          <w:tcPr>
            <w:tcW w:w="1815" w:type="pct"/>
            <w:shd w:val="clear" w:color="auto" w:fill="auto"/>
            <w:vAlign w:val="center"/>
          </w:tcPr>
          <w:p w14:paraId="16EFE2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rPr>
              <w:t xml:space="preserve">2U 机架式服务器 </w:t>
            </w:r>
          </w:p>
          <w:p w14:paraId="4F078B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CPU个数≥1</w:t>
            </w:r>
          </w:p>
          <w:p w14:paraId="52A890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服务器专用CPU：核心数≥12，主频≥</w:t>
            </w:r>
            <w:r>
              <w:rPr>
                <w:rFonts w:hint="eastAsia" w:ascii="宋体" w:hAnsi="宋体" w:eastAsia="宋体" w:cs="宋体"/>
                <w:sz w:val="24"/>
                <w:szCs w:val="24"/>
              </w:rPr>
              <w:t>2.4G</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制作工艺10纳米以下</w:t>
            </w:r>
          </w:p>
          <w:p w14:paraId="1A490D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内存：代数≥</w:t>
            </w:r>
            <w:r>
              <w:rPr>
                <w:rFonts w:hint="eastAsia" w:ascii="宋体" w:hAnsi="宋体" w:eastAsia="宋体" w:cs="宋体"/>
                <w:sz w:val="24"/>
                <w:szCs w:val="24"/>
              </w:rPr>
              <w:t>DDR4</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容量≥16</w:t>
            </w:r>
            <w:r>
              <w:rPr>
                <w:rFonts w:hint="eastAsia" w:ascii="宋体" w:hAnsi="宋体" w:eastAsia="宋体" w:cs="宋体"/>
                <w:sz w:val="24"/>
                <w:szCs w:val="24"/>
              </w:rPr>
              <w:t>G</w:t>
            </w:r>
          </w:p>
          <w:p w14:paraId="6A7236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硬盘：容量≥</w:t>
            </w:r>
            <w:r>
              <w:rPr>
                <w:rFonts w:hint="eastAsia" w:ascii="宋体" w:hAnsi="宋体" w:eastAsia="宋体" w:cs="宋体"/>
                <w:sz w:val="24"/>
                <w:szCs w:val="24"/>
              </w:rPr>
              <w:t>3*1.2T</w:t>
            </w:r>
          </w:p>
          <w:p w14:paraId="53468B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预装Windows操作系统</w:t>
            </w:r>
            <w:r>
              <w:rPr>
                <w:rFonts w:hint="eastAsia" w:ascii="宋体" w:hAnsi="宋体" w:eastAsia="宋体" w:cs="宋体"/>
                <w:sz w:val="24"/>
                <w:szCs w:val="24"/>
              </w:rPr>
              <w:t>、</w:t>
            </w:r>
            <w:r>
              <w:rPr>
                <w:rFonts w:hint="eastAsia" w:ascii="宋体" w:hAnsi="宋体" w:eastAsia="宋体" w:cs="宋体"/>
                <w:sz w:val="24"/>
                <w:szCs w:val="24"/>
                <w:lang w:val="en-US" w:eastAsia="zh-CN"/>
              </w:rPr>
              <w:t>SQLserver</w:t>
            </w:r>
            <w:r>
              <w:rPr>
                <w:rFonts w:hint="eastAsia" w:ascii="宋体" w:hAnsi="宋体" w:eastAsia="宋体" w:cs="宋体"/>
                <w:sz w:val="24"/>
                <w:szCs w:val="24"/>
              </w:rPr>
              <w:t>数据库</w:t>
            </w:r>
          </w:p>
        </w:tc>
        <w:tc>
          <w:tcPr>
            <w:tcW w:w="471" w:type="pct"/>
            <w:shd w:val="clear" w:color="auto" w:fill="auto"/>
            <w:vAlign w:val="center"/>
          </w:tcPr>
          <w:p w14:paraId="1FAD43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73BFA0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06E4F7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41" w:type="pct"/>
            <w:shd w:val="clear" w:color="auto" w:fill="auto"/>
            <w:vAlign w:val="center"/>
          </w:tcPr>
          <w:p w14:paraId="18C623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r>
      <w:tr w14:paraId="13973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779136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3.4</w:t>
            </w:r>
          </w:p>
        </w:tc>
        <w:tc>
          <w:tcPr>
            <w:tcW w:w="891" w:type="pct"/>
            <w:shd w:val="clear" w:color="auto" w:fill="auto"/>
            <w:vAlign w:val="center"/>
          </w:tcPr>
          <w:p w14:paraId="55978A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上包查验系统</w:t>
            </w:r>
            <w:r>
              <w:rPr>
                <w:rFonts w:hint="eastAsia" w:ascii="宋体" w:hAnsi="宋体" w:eastAsia="宋体" w:cs="宋体"/>
                <w:b/>
                <w:bCs/>
                <w:sz w:val="24"/>
                <w:szCs w:val="24"/>
                <w:lang w:val="en-US" w:eastAsia="zh-CN"/>
              </w:rPr>
              <w:t>（评标项8）</w:t>
            </w:r>
          </w:p>
        </w:tc>
        <w:tc>
          <w:tcPr>
            <w:tcW w:w="1815" w:type="pct"/>
            <w:shd w:val="clear" w:color="auto" w:fill="auto"/>
            <w:vAlign w:val="center"/>
          </w:tcPr>
          <w:p w14:paraId="146B7E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rPr>
              <w:t>通过手持式条码扫描仪扫描物品条形码，经过入口工作站处理后获得对应的分运单号，系统自动记录上线机检时间，并自动排列进入物品查验系统的顺序号，系统以分运单号为索引读取从物品中心网络下载到本地服务器的该票物品的EDI申报数据和审单结果。</w:t>
            </w:r>
          </w:p>
          <w:p w14:paraId="4A6CDC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对于在海关数据库中未找到对应EDI数据的物品,系统将记录分运单号,同时标记该物品为“查验”物品, 将被系统自动分拣出来，送往开拆区进行开拆查验。</w:t>
            </w:r>
          </w:p>
        </w:tc>
        <w:tc>
          <w:tcPr>
            <w:tcW w:w="471" w:type="pct"/>
            <w:shd w:val="clear" w:color="auto" w:fill="auto"/>
            <w:vAlign w:val="center"/>
          </w:tcPr>
          <w:p w14:paraId="3E3A5A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07CE1C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35697A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621FFE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6A215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7F975D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3.5</w:t>
            </w:r>
          </w:p>
        </w:tc>
        <w:tc>
          <w:tcPr>
            <w:tcW w:w="891" w:type="pct"/>
            <w:shd w:val="clear" w:color="auto" w:fill="auto"/>
            <w:vAlign w:val="center"/>
          </w:tcPr>
          <w:p w14:paraId="3E237C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同屏比对系统</w:t>
            </w:r>
            <w:r>
              <w:rPr>
                <w:rFonts w:hint="eastAsia" w:ascii="宋体" w:hAnsi="宋体" w:eastAsia="宋体" w:cs="宋体"/>
                <w:b/>
                <w:bCs/>
                <w:sz w:val="24"/>
                <w:szCs w:val="24"/>
                <w:lang w:val="en-US" w:eastAsia="zh-CN"/>
              </w:rPr>
              <w:t>（评标项9）</w:t>
            </w:r>
          </w:p>
        </w:tc>
        <w:tc>
          <w:tcPr>
            <w:tcW w:w="1815" w:type="pct"/>
            <w:shd w:val="clear" w:color="auto" w:fill="auto"/>
            <w:vAlign w:val="center"/>
          </w:tcPr>
          <w:p w14:paraId="698D3E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根据X光机或CT成像的结果，与分拣线系统结合，快匹配海关执法货物申报信息与图像的一致性比对，并呈现在同屏比对工作站电脑屏幕上便于关员直观判断查验货物的是否异常。</w:t>
            </w:r>
          </w:p>
        </w:tc>
        <w:tc>
          <w:tcPr>
            <w:tcW w:w="471" w:type="pct"/>
            <w:shd w:val="clear" w:color="auto" w:fill="auto"/>
            <w:vAlign w:val="center"/>
          </w:tcPr>
          <w:p w14:paraId="775049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02CA69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08C4EC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2F29445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090F4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43BFE9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3.6</w:t>
            </w:r>
          </w:p>
        </w:tc>
        <w:tc>
          <w:tcPr>
            <w:tcW w:w="891" w:type="pct"/>
            <w:shd w:val="clear" w:color="auto" w:fill="auto"/>
            <w:vAlign w:val="center"/>
          </w:tcPr>
          <w:p w14:paraId="7C8870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海关数据交换系统</w:t>
            </w:r>
            <w:r>
              <w:rPr>
                <w:rFonts w:hint="eastAsia" w:ascii="宋体" w:hAnsi="宋体" w:eastAsia="宋体" w:cs="宋体"/>
                <w:b/>
                <w:bCs/>
                <w:sz w:val="24"/>
                <w:szCs w:val="24"/>
                <w:lang w:val="en-US" w:eastAsia="zh-CN"/>
              </w:rPr>
              <w:t>（评标项10）</w:t>
            </w:r>
          </w:p>
        </w:tc>
        <w:tc>
          <w:tcPr>
            <w:tcW w:w="1815" w:type="pct"/>
            <w:shd w:val="clear" w:color="auto" w:fill="auto"/>
            <w:vAlign w:val="center"/>
          </w:tcPr>
          <w:p w14:paraId="0A4974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与海关系统的进行数据交互的，调取海关接口，获取相关的数据状态等</w:t>
            </w:r>
          </w:p>
        </w:tc>
        <w:tc>
          <w:tcPr>
            <w:tcW w:w="471" w:type="pct"/>
            <w:shd w:val="clear" w:color="auto" w:fill="auto"/>
            <w:vAlign w:val="center"/>
          </w:tcPr>
          <w:p w14:paraId="306B3D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63D47D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3047DD7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71EA84B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3FA81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69AC08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3.7</w:t>
            </w:r>
          </w:p>
        </w:tc>
        <w:tc>
          <w:tcPr>
            <w:tcW w:w="891" w:type="pct"/>
            <w:shd w:val="clear" w:color="auto" w:fill="auto"/>
            <w:vAlign w:val="center"/>
          </w:tcPr>
          <w:p w14:paraId="2F8972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货物监管集中查验系统</w:t>
            </w:r>
          </w:p>
        </w:tc>
        <w:tc>
          <w:tcPr>
            <w:tcW w:w="1815" w:type="pct"/>
            <w:shd w:val="clear" w:color="auto" w:fill="auto"/>
            <w:vAlign w:val="center"/>
          </w:tcPr>
          <w:p w14:paraId="6E3A3D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查验开拆辅助系统，关员通过开拆工作站上的条码阅读器扫描跨境物品条码，系统能与海关管理系统的EDI数据接口对接以及和图像系统接口对接，调用该跨境物品与条码绑定的EDI信息(包括关员代码、机检时间、机检结果)和对应图像，自动同屏显示开拆查验终端上</w:t>
            </w:r>
            <w:r>
              <w:rPr>
                <w:rFonts w:hint="eastAsia" w:ascii="宋体" w:hAnsi="宋体" w:eastAsia="宋体" w:cs="宋体"/>
                <w:sz w:val="24"/>
                <w:szCs w:val="24"/>
                <w:lang w:eastAsia="zh-CN"/>
              </w:rPr>
              <w:t>，</w:t>
            </w:r>
            <w:r>
              <w:rPr>
                <w:rFonts w:hint="eastAsia" w:ascii="宋体" w:hAnsi="宋体" w:eastAsia="宋体" w:cs="宋体"/>
                <w:sz w:val="24"/>
                <w:szCs w:val="24"/>
              </w:rPr>
              <w:t>提高海关查验效率。</w:t>
            </w:r>
          </w:p>
        </w:tc>
        <w:tc>
          <w:tcPr>
            <w:tcW w:w="471" w:type="pct"/>
            <w:shd w:val="clear" w:color="auto" w:fill="auto"/>
            <w:vAlign w:val="center"/>
          </w:tcPr>
          <w:p w14:paraId="259EFF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6DA33B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15F12D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c>
          <w:tcPr>
            <w:tcW w:w="541" w:type="pct"/>
            <w:shd w:val="clear" w:color="auto" w:fill="auto"/>
            <w:vAlign w:val="center"/>
          </w:tcPr>
          <w:p w14:paraId="343F6C2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10.78</w:t>
            </w:r>
          </w:p>
        </w:tc>
      </w:tr>
      <w:tr w14:paraId="54AF0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7170B7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3.8</w:t>
            </w:r>
          </w:p>
        </w:tc>
        <w:tc>
          <w:tcPr>
            <w:tcW w:w="891" w:type="pct"/>
            <w:shd w:val="clear" w:color="auto" w:fill="auto"/>
            <w:vAlign w:val="center"/>
          </w:tcPr>
          <w:p w14:paraId="7BA3CC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查验工作站</w:t>
            </w:r>
          </w:p>
        </w:tc>
        <w:tc>
          <w:tcPr>
            <w:tcW w:w="1815" w:type="pct"/>
            <w:shd w:val="clear" w:color="auto" w:fill="auto"/>
            <w:vAlign w:val="center"/>
          </w:tcPr>
          <w:p w14:paraId="49E4CC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CPU：核心数≥6，主频≥3.0GHz，制作工艺10纳米以下</w:t>
            </w:r>
          </w:p>
          <w:p w14:paraId="107D80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内存：容量≥8G，代数≥DDR4</w:t>
            </w:r>
          </w:p>
          <w:p w14:paraId="089F8B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硬盘：总容量≥1T</w:t>
            </w:r>
          </w:p>
          <w:p w14:paraId="3BDECF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显示器：液晶，尺寸≥21.5"</w:t>
            </w:r>
          </w:p>
          <w:p w14:paraId="26BB37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预装Windows操作系统，配套鼠标键盘，配套操作台</w:t>
            </w:r>
          </w:p>
        </w:tc>
        <w:tc>
          <w:tcPr>
            <w:tcW w:w="471" w:type="pct"/>
            <w:shd w:val="clear" w:color="auto" w:fill="auto"/>
            <w:vAlign w:val="center"/>
          </w:tcPr>
          <w:p w14:paraId="430F8C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58C73A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5350F1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c>
          <w:tcPr>
            <w:tcW w:w="541" w:type="pct"/>
            <w:shd w:val="clear" w:color="auto" w:fill="auto"/>
            <w:vAlign w:val="center"/>
          </w:tcPr>
          <w:p w14:paraId="5B44D9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r>
      <w:tr w14:paraId="226AA7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437626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3.9</w:t>
            </w:r>
          </w:p>
        </w:tc>
        <w:tc>
          <w:tcPr>
            <w:tcW w:w="891" w:type="pct"/>
            <w:shd w:val="clear" w:color="auto" w:fill="auto"/>
            <w:vAlign w:val="center"/>
          </w:tcPr>
          <w:p w14:paraId="0EF9D3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手持式条码仪</w:t>
            </w:r>
          </w:p>
        </w:tc>
        <w:tc>
          <w:tcPr>
            <w:tcW w:w="1815" w:type="pct"/>
            <w:shd w:val="clear" w:color="auto" w:fill="auto"/>
            <w:vAlign w:val="center"/>
          </w:tcPr>
          <w:p w14:paraId="681F1D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解码类型：一维/二维码</w:t>
            </w:r>
          </w:p>
        </w:tc>
        <w:tc>
          <w:tcPr>
            <w:tcW w:w="471" w:type="pct"/>
            <w:shd w:val="clear" w:color="auto" w:fill="auto"/>
            <w:vAlign w:val="center"/>
          </w:tcPr>
          <w:p w14:paraId="588616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057636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个</w:t>
            </w:r>
          </w:p>
        </w:tc>
        <w:tc>
          <w:tcPr>
            <w:tcW w:w="503" w:type="pct"/>
            <w:shd w:val="clear" w:color="auto" w:fill="auto"/>
            <w:vAlign w:val="center"/>
          </w:tcPr>
          <w:p w14:paraId="4EF6ABA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0.049</w:t>
            </w:r>
          </w:p>
        </w:tc>
        <w:tc>
          <w:tcPr>
            <w:tcW w:w="541" w:type="pct"/>
            <w:shd w:val="clear" w:color="auto" w:fill="auto"/>
            <w:vAlign w:val="center"/>
          </w:tcPr>
          <w:p w14:paraId="07CD21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0.049</w:t>
            </w:r>
          </w:p>
        </w:tc>
      </w:tr>
      <w:tr w14:paraId="2BC9D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2BDEAC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891" w:type="pct"/>
            <w:shd w:val="clear" w:color="auto" w:fill="auto"/>
            <w:vAlign w:val="center"/>
          </w:tcPr>
          <w:p w14:paraId="60C630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lang w:val="en-US"/>
              </w:rPr>
            </w:pPr>
            <w:r>
              <w:rPr>
                <w:rFonts w:hint="eastAsia" w:ascii="宋体" w:hAnsi="宋体" w:eastAsia="宋体" w:cs="宋体"/>
                <w:sz w:val="24"/>
                <w:szCs w:val="24"/>
                <w:lang w:val="en-US" w:eastAsia="zh-CN"/>
              </w:rPr>
              <w:t>数据传输与网络系统</w:t>
            </w:r>
          </w:p>
        </w:tc>
        <w:tc>
          <w:tcPr>
            <w:tcW w:w="1815" w:type="pct"/>
            <w:shd w:val="clear" w:color="auto" w:fill="auto"/>
            <w:vAlign w:val="center"/>
          </w:tcPr>
          <w:p w14:paraId="721DF8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1" w:type="pct"/>
            <w:shd w:val="clear" w:color="auto" w:fill="auto"/>
            <w:vAlign w:val="center"/>
          </w:tcPr>
          <w:p w14:paraId="2830CC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400" w:type="pct"/>
            <w:shd w:val="clear" w:color="auto" w:fill="auto"/>
            <w:vAlign w:val="center"/>
          </w:tcPr>
          <w:p w14:paraId="6EBE82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03" w:type="pct"/>
            <w:shd w:val="clear" w:color="auto" w:fill="auto"/>
            <w:vAlign w:val="center"/>
          </w:tcPr>
          <w:p w14:paraId="0991E40B">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41" w:type="pct"/>
            <w:shd w:val="clear" w:color="auto" w:fill="auto"/>
            <w:vAlign w:val="center"/>
          </w:tcPr>
          <w:p w14:paraId="13FCD046">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29E8F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7C0091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4.1</w:t>
            </w:r>
          </w:p>
        </w:tc>
        <w:tc>
          <w:tcPr>
            <w:tcW w:w="891" w:type="pct"/>
            <w:shd w:val="clear" w:color="auto" w:fill="auto"/>
            <w:vAlign w:val="center"/>
          </w:tcPr>
          <w:p w14:paraId="38D999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EDI数据服务器</w:t>
            </w:r>
          </w:p>
        </w:tc>
        <w:tc>
          <w:tcPr>
            <w:tcW w:w="1815" w:type="pct"/>
            <w:shd w:val="clear" w:color="auto" w:fill="auto"/>
            <w:vAlign w:val="center"/>
          </w:tcPr>
          <w:p w14:paraId="518C27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2U 机架式服务器</w:t>
            </w:r>
          </w:p>
          <w:p w14:paraId="7FF4FF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CPU个数≥1</w:t>
            </w:r>
          </w:p>
          <w:p w14:paraId="68E60D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服务器专用CPU：核心数≥10，主频≥</w:t>
            </w:r>
            <w:r>
              <w:rPr>
                <w:rFonts w:hint="eastAsia" w:ascii="宋体" w:hAnsi="宋体" w:eastAsia="宋体" w:cs="宋体"/>
                <w:sz w:val="24"/>
                <w:szCs w:val="24"/>
                <w:highlight w:val="none"/>
              </w:rPr>
              <w:t>2.4G</w:t>
            </w:r>
            <w:r>
              <w:rPr>
                <w:rFonts w:hint="eastAsia" w:ascii="宋体" w:hAnsi="宋体" w:eastAsia="宋体" w:cs="宋体"/>
                <w:sz w:val="24"/>
                <w:szCs w:val="24"/>
                <w:highlight w:val="none"/>
                <w:lang w:eastAsia="zh-CN"/>
              </w:rPr>
              <w:t>，</w:t>
            </w:r>
            <w:r>
              <w:rPr>
                <w:rFonts w:hint="eastAsia" w:ascii="宋体" w:hAnsi="宋体" w:eastAsia="宋体" w:cs="宋体"/>
                <w:sz w:val="24"/>
                <w:szCs w:val="24"/>
                <w:lang w:val="en-US" w:eastAsia="zh-CN"/>
              </w:rPr>
              <w:t>制作工艺10纳米以下</w:t>
            </w:r>
          </w:p>
          <w:p w14:paraId="148C2E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内存：代数≥</w:t>
            </w:r>
            <w:r>
              <w:rPr>
                <w:rFonts w:hint="eastAsia" w:ascii="宋体" w:hAnsi="宋体" w:eastAsia="宋体" w:cs="宋体"/>
                <w:sz w:val="24"/>
                <w:szCs w:val="24"/>
                <w:highlight w:val="none"/>
              </w:rPr>
              <w:t>DDR4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容量≥</w:t>
            </w:r>
            <w:r>
              <w:rPr>
                <w:rFonts w:hint="eastAsia" w:ascii="宋体" w:hAnsi="宋体" w:eastAsia="宋体" w:cs="宋体"/>
                <w:sz w:val="24"/>
                <w:szCs w:val="24"/>
                <w:highlight w:val="none"/>
              </w:rPr>
              <w:t>64G</w:t>
            </w:r>
          </w:p>
          <w:p w14:paraId="391553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硬盘：容量≥2</w:t>
            </w:r>
            <w:r>
              <w:rPr>
                <w:rFonts w:hint="eastAsia" w:ascii="宋体" w:hAnsi="宋体" w:eastAsia="宋体" w:cs="宋体"/>
                <w:sz w:val="24"/>
                <w:szCs w:val="24"/>
                <w:highlight w:val="none"/>
              </w:rPr>
              <w:t xml:space="preserve">*1.2T </w:t>
            </w:r>
          </w:p>
          <w:p w14:paraId="487842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highlight w:val="none"/>
                <w:lang w:val="en-US" w:eastAsia="zh-CN"/>
              </w:rPr>
              <w:t>预装Windows操作系统</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SQLserver</w:t>
            </w:r>
            <w:r>
              <w:rPr>
                <w:rFonts w:hint="eastAsia" w:ascii="宋体" w:hAnsi="宋体" w:eastAsia="宋体" w:cs="宋体"/>
                <w:sz w:val="24"/>
                <w:szCs w:val="24"/>
                <w:highlight w:val="none"/>
              </w:rPr>
              <w:t>数据库</w:t>
            </w:r>
          </w:p>
        </w:tc>
        <w:tc>
          <w:tcPr>
            <w:tcW w:w="471" w:type="pct"/>
            <w:shd w:val="clear" w:color="auto" w:fill="auto"/>
            <w:vAlign w:val="center"/>
          </w:tcPr>
          <w:p w14:paraId="1F360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14C26B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718F61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c>
          <w:tcPr>
            <w:tcW w:w="541" w:type="pct"/>
            <w:shd w:val="clear" w:color="auto" w:fill="auto"/>
            <w:vAlign w:val="center"/>
          </w:tcPr>
          <w:p w14:paraId="561408E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52098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72291A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4.2</w:t>
            </w:r>
          </w:p>
        </w:tc>
        <w:tc>
          <w:tcPr>
            <w:tcW w:w="891" w:type="pct"/>
            <w:shd w:val="clear" w:color="auto" w:fill="auto"/>
            <w:vAlign w:val="center"/>
          </w:tcPr>
          <w:p w14:paraId="1DB862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24口交换机</w:t>
            </w:r>
          </w:p>
        </w:tc>
        <w:tc>
          <w:tcPr>
            <w:tcW w:w="1815" w:type="pct"/>
            <w:shd w:val="clear" w:color="auto" w:fill="auto"/>
            <w:vAlign w:val="center"/>
          </w:tcPr>
          <w:p w14:paraId="2A472D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24个10/100/1000Mbps自适应以太网端口</w:t>
            </w:r>
          </w:p>
        </w:tc>
        <w:tc>
          <w:tcPr>
            <w:tcW w:w="471" w:type="pct"/>
            <w:shd w:val="clear" w:color="auto" w:fill="auto"/>
            <w:vAlign w:val="center"/>
          </w:tcPr>
          <w:p w14:paraId="68F647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75EB3B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7FE3915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0.245</w:t>
            </w:r>
          </w:p>
        </w:tc>
        <w:tc>
          <w:tcPr>
            <w:tcW w:w="541" w:type="pct"/>
            <w:shd w:val="clear" w:color="auto" w:fill="auto"/>
            <w:vAlign w:val="center"/>
          </w:tcPr>
          <w:p w14:paraId="2B5241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0.245</w:t>
            </w:r>
          </w:p>
        </w:tc>
      </w:tr>
      <w:tr w14:paraId="7C2BF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76" w:type="pct"/>
            <w:shd w:val="clear" w:color="auto" w:fill="auto"/>
            <w:vAlign w:val="center"/>
          </w:tcPr>
          <w:p w14:paraId="73FDC9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4.3</w:t>
            </w:r>
          </w:p>
        </w:tc>
        <w:tc>
          <w:tcPr>
            <w:tcW w:w="891" w:type="pct"/>
            <w:shd w:val="clear" w:color="auto" w:fill="auto"/>
            <w:vAlign w:val="center"/>
          </w:tcPr>
          <w:p w14:paraId="6DD5C5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网络机柜</w:t>
            </w:r>
          </w:p>
        </w:tc>
        <w:tc>
          <w:tcPr>
            <w:tcW w:w="1815" w:type="pct"/>
            <w:shd w:val="clear" w:color="auto" w:fill="auto"/>
            <w:vAlign w:val="center"/>
          </w:tcPr>
          <w:p w14:paraId="153BA0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default" w:ascii="宋体" w:hAnsi="宋体" w:eastAsia="宋体" w:cs="宋体"/>
                <w:kern w:val="2"/>
                <w:sz w:val="24"/>
                <w:szCs w:val="24"/>
                <w:lang w:val="en-US" w:eastAsia="zh-CN" w:bidi="ar-SA"/>
              </w:rPr>
            </w:pPr>
            <w:r>
              <w:rPr>
                <w:rFonts w:hint="eastAsia" w:ascii="宋体" w:hAnsi="宋体" w:eastAsia="宋体" w:cs="宋体"/>
                <w:sz w:val="24"/>
                <w:szCs w:val="24"/>
              </w:rPr>
              <w:t>42U  2000</w:t>
            </w:r>
            <w:r>
              <w:rPr>
                <w:rFonts w:hint="eastAsia" w:ascii="宋体" w:hAnsi="宋体" w:eastAsia="宋体" w:cs="宋体"/>
                <w:sz w:val="24"/>
                <w:szCs w:val="24"/>
                <w:lang w:val="en-US" w:eastAsia="zh-CN"/>
              </w:rPr>
              <w:t>mm</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00</w:t>
            </w:r>
            <w:r>
              <w:rPr>
                <w:rFonts w:hint="eastAsia" w:ascii="宋体" w:hAnsi="宋体" w:eastAsia="宋体" w:cs="宋体"/>
                <w:sz w:val="24"/>
                <w:szCs w:val="24"/>
                <w:lang w:val="en-US" w:eastAsia="zh-CN"/>
              </w:rPr>
              <w:t>mm</w:t>
            </w:r>
            <w:r>
              <w:rPr>
                <w:rFonts w:hint="eastAsia" w:ascii="宋体" w:hAnsi="宋体" w:eastAsia="宋体" w:cs="宋体"/>
                <w:sz w:val="24"/>
                <w:szCs w:val="24"/>
              </w:rPr>
              <w:t>*1</w:t>
            </w:r>
            <w:r>
              <w:rPr>
                <w:rFonts w:hint="eastAsia" w:ascii="宋体" w:hAnsi="宋体" w:eastAsia="宋体" w:cs="宋体"/>
                <w:sz w:val="24"/>
                <w:szCs w:val="24"/>
                <w:lang w:val="en-US" w:eastAsia="zh-CN"/>
              </w:rPr>
              <w:t>2</w:t>
            </w:r>
            <w:r>
              <w:rPr>
                <w:rFonts w:hint="eastAsia" w:ascii="宋体" w:hAnsi="宋体" w:eastAsia="宋体" w:cs="宋体"/>
                <w:sz w:val="24"/>
                <w:szCs w:val="24"/>
              </w:rPr>
              <w:t>00</w:t>
            </w:r>
            <w:r>
              <w:rPr>
                <w:rFonts w:hint="eastAsia" w:ascii="宋体" w:hAnsi="宋体" w:eastAsia="宋体" w:cs="宋体"/>
                <w:sz w:val="24"/>
                <w:szCs w:val="24"/>
                <w:lang w:val="en-US" w:eastAsia="zh-CN"/>
              </w:rPr>
              <w:t>mm</w:t>
            </w:r>
          </w:p>
        </w:tc>
        <w:tc>
          <w:tcPr>
            <w:tcW w:w="471" w:type="pct"/>
            <w:shd w:val="clear" w:color="auto" w:fill="auto"/>
            <w:vAlign w:val="center"/>
          </w:tcPr>
          <w:p w14:paraId="32C407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12BA85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38A5D76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41" w:type="pct"/>
            <w:shd w:val="clear" w:color="auto" w:fill="auto"/>
            <w:vAlign w:val="center"/>
          </w:tcPr>
          <w:p w14:paraId="4CB8E0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r>
      <w:tr w14:paraId="067B5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7C2D2C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4.4</w:t>
            </w:r>
          </w:p>
        </w:tc>
        <w:tc>
          <w:tcPr>
            <w:tcW w:w="891" w:type="pct"/>
            <w:shd w:val="clear" w:color="auto" w:fill="auto"/>
            <w:vAlign w:val="center"/>
          </w:tcPr>
          <w:p w14:paraId="31A7AC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KVM</w:t>
            </w:r>
          </w:p>
        </w:tc>
        <w:tc>
          <w:tcPr>
            <w:tcW w:w="1815" w:type="pct"/>
            <w:shd w:val="clear" w:color="auto" w:fill="auto"/>
            <w:vAlign w:val="center"/>
          </w:tcPr>
          <w:p w14:paraId="149231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·显示屏类型：</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17英寸宽温屏 </w:t>
            </w:r>
          </w:p>
          <w:p w14:paraId="2632C2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·支持分辨率</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w:t>
            </w:r>
            <w:r>
              <w:rPr>
                <w:rFonts w:hint="eastAsia" w:ascii="宋体" w:hAnsi="宋体" w:eastAsia="宋体" w:cs="宋体"/>
                <w:sz w:val="24"/>
                <w:szCs w:val="24"/>
              </w:rPr>
              <w:t>1280×102</w:t>
            </w:r>
            <w:r>
              <w:rPr>
                <w:rFonts w:hint="eastAsia" w:ascii="宋体" w:hAnsi="宋体" w:eastAsia="宋体" w:cs="宋体"/>
                <w:sz w:val="24"/>
                <w:szCs w:val="24"/>
                <w:lang w:val="en-US" w:eastAsia="zh-CN"/>
              </w:rPr>
              <w:t>4</w:t>
            </w:r>
            <w:r>
              <w:rPr>
                <w:rFonts w:hint="eastAsia" w:ascii="宋体" w:hAnsi="宋体" w:eastAsia="宋体" w:cs="宋体"/>
                <w:sz w:val="24"/>
                <w:szCs w:val="24"/>
              </w:rPr>
              <w:t xml:space="preserve"> </w:t>
            </w:r>
          </w:p>
          <w:p w14:paraId="3C4BC8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·PC端口数量</w:t>
            </w:r>
            <w:r>
              <w:rPr>
                <w:rFonts w:hint="eastAsia" w:ascii="宋体" w:hAnsi="宋体" w:eastAsia="宋体" w:cs="宋体"/>
                <w:sz w:val="24"/>
                <w:szCs w:val="24"/>
                <w:lang w:val="en-US" w:eastAsia="zh-CN"/>
              </w:rPr>
              <w:t>≥</w:t>
            </w:r>
            <w:r>
              <w:rPr>
                <w:rFonts w:hint="eastAsia" w:ascii="宋体" w:hAnsi="宋体" w:eastAsia="宋体" w:cs="宋体"/>
                <w:sz w:val="24"/>
                <w:szCs w:val="24"/>
              </w:rPr>
              <w:t>8，支持</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2个USB.PS </w:t>
            </w:r>
          </w:p>
          <w:p w14:paraId="10CBA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·使用寿命 ：</w:t>
            </w:r>
            <w:r>
              <w:rPr>
                <w:rFonts w:hint="eastAsia" w:ascii="宋体" w:hAnsi="宋体" w:eastAsia="宋体" w:cs="宋体"/>
                <w:sz w:val="24"/>
                <w:szCs w:val="24"/>
                <w:lang w:val="en-US" w:eastAsia="zh-CN"/>
              </w:rPr>
              <w:t>≥</w:t>
            </w:r>
            <w:r>
              <w:rPr>
                <w:rFonts w:hint="eastAsia" w:ascii="宋体" w:hAnsi="宋体" w:eastAsia="宋体" w:cs="宋体"/>
                <w:sz w:val="24"/>
                <w:szCs w:val="24"/>
              </w:rPr>
              <w:t>100000 小时</w:t>
            </w:r>
          </w:p>
        </w:tc>
        <w:tc>
          <w:tcPr>
            <w:tcW w:w="471" w:type="pct"/>
            <w:shd w:val="clear" w:color="auto" w:fill="auto"/>
            <w:vAlign w:val="center"/>
          </w:tcPr>
          <w:p w14:paraId="065FE7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300EC2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3" w:type="pct"/>
            <w:shd w:val="clear" w:color="auto" w:fill="auto"/>
            <w:vAlign w:val="center"/>
          </w:tcPr>
          <w:p w14:paraId="1BD807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41" w:type="pct"/>
            <w:shd w:val="clear" w:color="auto" w:fill="auto"/>
            <w:vAlign w:val="center"/>
          </w:tcPr>
          <w:p w14:paraId="123F0A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 xml:space="preserve">  0.49</w:t>
            </w:r>
          </w:p>
        </w:tc>
      </w:tr>
      <w:tr w14:paraId="32B16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76" w:type="pct"/>
            <w:shd w:val="clear" w:color="auto" w:fill="auto"/>
            <w:vAlign w:val="center"/>
          </w:tcPr>
          <w:p w14:paraId="15CFA8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4.5</w:t>
            </w:r>
          </w:p>
        </w:tc>
        <w:tc>
          <w:tcPr>
            <w:tcW w:w="891" w:type="pct"/>
            <w:shd w:val="clear" w:color="auto" w:fill="auto"/>
            <w:vAlign w:val="center"/>
          </w:tcPr>
          <w:p w14:paraId="107D96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施工辅材</w:t>
            </w:r>
          </w:p>
        </w:tc>
        <w:tc>
          <w:tcPr>
            <w:tcW w:w="1815" w:type="pct"/>
            <w:shd w:val="clear" w:color="auto" w:fill="auto"/>
            <w:vAlign w:val="center"/>
          </w:tcPr>
          <w:p w14:paraId="1440C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控制接线盒、接线端子箱、穿线镀锌管、穿线软管、线槽、桥架、电缆接头等</w:t>
            </w:r>
          </w:p>
        </w:tc>
        <w:tc>
          <w:tcPr>
            <w:tcW w:w="471" w:type="pct"/>
            <w:shd w:val="clear" w:color="auto" w:fill="auto"/>
            <w:vAlign w:val="center"/>
          </w:tcPr>
          <w:p w14:paraId="7666B3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0" w:type="pct"/>
            <w:shd w:val="clear" w:color="auto" w:fill="auto"/>
            <w:vAlign w:val="center"/>
          </w:tcPr>
          <w:p w14:paraId="6A90EC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3" w:type="pct"/>
            <w:shd w:val="clear" w:color="auto" w:fill="auto"/>
            <w:vAlign w:val="center"/>
          </w:tcPr>
          <w:p w14:paraId="277CB64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41" w:type="pct"/>
            <w:shd w:val="clear" w:color="auto" w:fill="auto"/>
            <w:vAlign w:val="center"/>
          </w:tcPr>
          <w:p w14:paraId="70C68D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r>
      <w:tr w14:paraId="655E6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458" w:type="pct"/>
            <w:gridSpan w:val="6"/>
            <w:shd w:val="clear" w:color="auto" w:fill="auto"/>
            <w:vAlign w:val="center"/>
          </w:tcPr>
          <w:p w14:paraId="7A0BA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小计（万元）</w:t>
            </w:r>
          </w:p>
        </w:tc>
        <w:tc>
          <w:tcPr>
            <w:tcW w:w="541" w:type="pct"/>
            <w:shd w:val="clear" w:color="auto" w:fill="auto"/>
            <w:vAlign w:val="center"/>
          </w:tcPr>
          <w:p w14:paraId="4106BB4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166.012</w:t>
            </w:r>
          </w:p>
        </w:tc>
      </w:tr>
    </w:tbl>
    <w:p w14:paraId="4C6DB1A9">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4.9视频监控系统</w:t>
      </w:r>
    </w:p>
    <w:tbl>
      <w:tblPr>
        <w:tblStyle w:val="17"/>
        <w:tblW w:w="49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721"/>
        <w:gridCol w:w="1737"/>
        <w:gridCol w:w="3581"/>
        <w:gridCol w:w="948"/>
        <w:gridCol w:w="773"/>
        <w:gridCol w:w="987"/>
        <w:gridCol w:w="1084"/>
      </w:tblGrid>
      <w:tr w14:paraId="688D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67" w:type="pct"/>
            <w:shd w:val="clear" w:color="auto" w:fill="FFFFFF" w:themeFill="background1"/>
            <w:vAlign w:val="center"/>
          </w:tcPr>
          <w:p w14:paraId="34ED8C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883" w:type="pct"/>
            <w:shd w:val="clear" w:color="auto" w:fill="FFFFFF" w:themeFill="background1"/>
            <w:vAlign w:val="center"/>
          </w:tcPr>
          <w:p w14:paraId="0E906B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1821" w:type="pct"/>
            <w:shd w:val="clear" w:color="auto" w:fill="FFFFFF" w:themeFill="background1"/>
            <w:vAlign w:val="center"/>
          </w:tcPr>
          <w:p w14:paraId="5E97AE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color w:val="000000"/>
                <w:kern w:val="0"/>
                <w:sz w:val="24"/>
                <w:szCs w:val="24"/>
              </w:rPr>
              <w:t>技术规格及参数</w:t>
            </w:r>
          </w:p>
        </w:tc>
        <w:tc>
          <w:tcPr>
            <w:tcW w:w="482" w:type="pct"/>
            <w:shd w:val="clear" w:color="auto" w:fill="FFFFFF" w:themeFill="background1"/>
            <w:vAlign w:val="center"/>
          </w:tcPr>
          <w:p w14:paraId="63EECD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数量</w:t>
            </w:r>
          </w:p>
        </w:tc>
        <w:tc>
          <w:tcPr>
            <w:tcW w:w="393" w:type="pct"/>
            <w:shd w:val="clear" w:color="auto" w:fill="FFFFFF" w:themeFill="background1"/>
            <w:vAlign w:val="center"/>
          </w:tcPr>
          <w:p w14:paraId="730F3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500" w:type="pct"/>
            <w:shd w:val="clear" w:color="auto" w:fill="FFFFFF" w:themeFill="background1"/>
            <w:vAlign w:val="center"/>
          </w:tcPr>
          <w:p w14:paraId="2F1FF9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单价</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c>
          <w:tcPr>
            <w:tcW w:w="551" w:type="pct"/>
            <w:shd w:val="clear" w:color="auto" w:fill="FFFFFF" w:themeFill="background1"/>
            <w:vAlign w:val="center"/>
          </w:tcPr>
          <w:p w14:paraId="39A6B8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金额</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r>
      <w:tr w14:paraId="4DA07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3FA01B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3" w:type="pct"/>
            <w:shd w:val="clear" w:color="auto" w:fill="auto"/>
            <w:vAlign w:val="center"/>
          </w:tcPr>
          <w:p w14:paraId="02526C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智能球机</w:t>
            </w:r>
          </w:p>
        </w:tc>
        <w:tc>
          <w:tcPr>
            <w:tcW w:w="1821" w:type="pct"/>
            <w:shd w:val="clear" w:color="auto" w:fill="auto"/>
            <w:vAlign w:val="top"/>
          </w:tcPr>
          <w:p w14:paraId="21CCB3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1.全景≤4mm400万全彩细节400万全彩震慑7寸32倍经济型枪球网络高清智能球机</w:t>
            </w:r>
            <w:r>
              <w:rPr>
                <w:rFonts w:hint="eastAsia" w:ascii="宋体" w:hAnsi="宋体" w:eastAsia="宋体" w:cs="宋体"/>
                <w:color w:val="000000" w:themeColor="text1"/>
                <w:sz w:val="24"/>
                <w:szCs w:val="24"/>
                <w:lang w:eastAsia="zh-CN"/>
                <w14:textFill>
                  <w14:solidFill>
                    <w14:schemeClr w14:val="tx1"/>
                  </w14:solidFill>
                </w14:textFill>
              </w:rPr>
              <w:t>；</w:t>
            </w:r>
          </w:p>
          <w:p w14:paraId="357A7D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2.支持深度学习算法，提供精准的人车分类侦测、报警、联动跟踪</w:t>
            </w:r>
            <w:r>
              <w:rPr>
                <w:rFonts w:hint="eastAsia" w:ascii="宋体" w:hAnsi="宋体" w:eastAsia="宋体" w:cs="宋体"/>
                <w:color w:val="000000" w:themeColor="text1"/>
                <w:sz w:val="24"/>
                <w:szCs w:val="24"/>
                <w:lang w:eastAsia="zh-CN"/>
                <w14:textFill>
                  <w14:solidFill>
                    <w14:schemeClr w14:val="tx1"/>
                  </w14:solidFill>
                </w14:textFill>
              </w:rPr>
              <w:t>；</w:t>
            </w:r>
          </w:p>
          <w:p w14:paraId="44B720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3.支持强光提醒，报警联动束状光源，可实现150 m常亮光束指示；</w:t>
            </w:r>
          </w:p>
          <w:p w14:paraId="5F74ED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4.内置2个镜头，可以输出两路视频图像，1路全景视频图像、1路细节视频图像；内置2颗GPU芯片；</w:t>
            </w:r>
          </w:p>
          <w:p w14:paraId="475E22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5.全景通道支持最大像素为 2560×1440，细节通道支持最大像素为 2560×1440，红外距离可达150米</w:t>
            </w:r>
            <w:r>
              <w:rPr>
                <w:rFonts w:hint="eastAsia" w:ascii="宋体" w:hAnsi="宋体" w:eastAsia="宋体" w:cs="宋体"/>
                <w:color w:val="000000" w:themeColor="text1"/>
                <w:sz w:val="24"/>
                <w:szCs w:val="24"/>
                <w:lang w:eastAsia="zh-CN"/>
                <w14:textFill>
                  <w14:solidFill>
                    <w14:schemeClr w14:val="tx1"/>
                  </w14:solidFill>
                </w14:textFill>
              </w:rPr>
              <w:t>；</w:t>
            </w:r>
          </w:p>
          <w:p w14:paraId="3A7EC4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6.细节镜头支持32倍光学变倍，最大焦距≥188mm</w:t>
            </w:r>
            <w:r>
              <w:rPr>
                <w:rFonts w:hint="eastAsia" w:ascii="宋体" w:hAnsi="宋体" w:eastAsia="宋体" w:cs="宋体"/>
                <w:color w:val="000000" w:themeColor="text1"/>
                <w:sz w:val="24"/>
                <w:szCs w:val="24"/>
                <w:lang w:eastAsia="zh-CN"/>
                <w14:textFill>
                  <w14:solidFill>
                    <w14:schemeClr w14:val="tx1"/>
                  </w14:solidFill>
                </w14:textFill>
              </w:rPr>
              <w:t>；</w:t>
            </w:r>
          </w:p>
          <w:p w14:paraId="71CB3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7.支持最低照度可达彩色0.0002Lux，黑白0.0001Lux</w:t>
            </w:r>
            <w:r>
              <w:rPr>
                <w:rFonts w:hint="eastAsia" w:ascii="宋体" w:hAnsi="宋体" w:eastAsia="宋体" w:cs="宋体"/>
                <w:color w:val="000000" w:themeColor="text1"/>
                <w:sz w:val="24"/>
                <w:szCs w:val="24"/>
                <w:lang w:eastAsia="zh-CN"/>
                <w14:textFill>
                  <w14:solidFill>
                    <w14:schemeClr w14:val="tx1"/>
                  </w14:solidFill>
                </w14:textFill>
              </w:rPr>
              <w:t>；</w:t>
            </w:r>
          </w:p>
          <w:p w14:paraId="3C720D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8.支持水平手控速度不小于160°/S，垂直速度不小于120°/S，云台定位精度为±0.1°</w:t>
            </w:r>
            <w:r>
              <w:rPr>
                <w:rFonts w:hint="eastAsia" w:ascii="宋体" w:hAnsi="宋体" w:eastAsia="宋体" w:cs="宋体"/>
                <w:color w:val="000000" w:themeColor="text1"/>
                <w:sz w:val="24"/>
                <w:szCs w:val="24"/>
                <w:lang w:eastAsia="zh-CN"/>
                <w14:textFill>
                  <w14:solidFill>
                    <w14:schemeClr w14:val="tx1"/>
                  </w14:solidFill>
                </w14:textFill>
              </w:rPr>
              <w:t>；</w:t>
            </w:r>
          </w:p>
          <w:p w14:paraId="2A00B6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9.水平旋转范围为360°连续旋转，垂直旋转范围为-15°~90°；</w:t>
            </w:r>
          </w:p>
          <w:p w14:paraId="605879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10.内置两个扬声器，并可随细节视频图像以及补光灯、白光报警灯360°同步旋转；</w:t>
            </w:r>
          </w:p>
          <w:p w14:paraId="044FCE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11.支持对150米以外人员进行报警提示，在夜晚无光照环境下，正向人员能明显感觉到报警灯闪烁；</w:t>
            </w:r>
          </w:p>
          <w:p w14:paraId="322126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12.支持白光报警时，光束呈现束状型，全景图像中可明确指示报警方向；</w:t>
            </w:r>
          </w:p>
          <w:p w14:paraId="707229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13.支持对镜头前盖玻璃加热，去除玻璃上的冰状和水状附着物；</w:t>
            </w:r>
          </w:p>
          <w:p w14:paraId="37F631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14.支持循环跟踪功能，当全景视频图像中有多个目标触发报警事件后，细节视频图像可联动对多个目标循环跟踪</w:t>
            </w:r>
            <w:r>
              <w:rPr>
                <w:rFonts w:hint="eastAsia" w:ascii="宋体" w:hAnsi="宋体" w:eastAsia="宋体" w:cs="宋体"/>
                <w:color w:val="000000" w:themeColor="text1"/>
                <w:sz w:val="24"/>
                <w:szCs w:val="24"/>
                <w:lang w:eastAsia="zh-CN"/>
                <w14:textFill>
                  <w14:solidFill>
                    <w14:schemeClr w14:val="tx1"/>
                  </w14:solidFill>
                </w14:textFill>
              </w:rPr>
              <w:t>；</w:t>
            </w:r>
          </w:p>
          <w:p w14:paraId="6C9202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15.支持跟踪报警功能，可对监视画面中的多个目标进行跟踪，并可显示移动目标的属性（人、车、其他）；当移动目标进入监视画面时可报警上传，离开监视画面5s后解除报警；</w:t>
            </w:r>
          </w:p>
          <w:p w14:paraId="22666F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16.支持定位联动功能，可自动标定全景视频图像与细节视频图像，使通过客户端软件或IE浏览器在全景视频图像中点击或框选任意区域后，在细节视频图像旋转角度范围允许的条件下，可将该区域处于细节视频图像中央，标定点数量不少于6个，且标定用时不大于1s；</w:t>
            </w:r>
          </w:p>
          <w:p w14:paraId="4E2C64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17.支持白平衡参数锁定功能，可将白平衡参数锁定为当前设定值，锁定后白平衡参数值不应改变；</w:t>
            </w:r>
          </w:p>
          <w:p w14:paraId="36B735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18.支持图片合成功能，报警事件触发后，可联动全景视频图像与细节视频图像进行抓图，并将两张报警图片合成；</w:t>
            </w:r>
            <w:r>
              <w:rPr>
                <w:rFonts w:hint="eastAsia" w:ascii="宋体" w:hAnsi="宋体" w:eastAsia="宋体" w:cs="宋体"/>
                <w:b/>
                <w:bCs/>
                <w:sz w:val="24"/>
                <w:szCs w:val="24"/>
                <w:lang w:val="en-US" w:eastAsia="zh-CN"/>
              </w:rPr>
              <w:t>（评标项11）</w:t>
            </w:r>
          </w:p>
          <w:p w14:paraId="4345A5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19.支持300个预置位，可按照所设置的预置位完成不小于8条巡航路径，支持不小于4条模式路径设置，支持预置位视频冻结功能；可实现RS485接口优先或RJ45网络接口优先控制功能；</w:t>
            </w:r>
            <w:r>
              <w:rPr>
                <w:rFonts w:hint="eastAsia" w:ascii="宋体" w:hAnsi="宋体" w:eastAsia="宋体" w:cs="宋体"/>
                <w:b/>
                <w:bCs/>
                <w:sz w:val="24"/>
                <w:szCs w:val="24"/>
                <w:lang w:val="en-US" w:eastAsia="zh-CN"/>
              </w:rPr>
              <w:t>（评标项12）</w:t>
            </w:r>
          </w:p>
        </w:tc>
        <w:tc>
          <w:tcPr>
            <w:tcW w:w="482" w:type="pct"/>
            <w:shd w:val="clear" w:color="auto" w:fill="auto"/>
            <w:vAlign w:val="center"/>
          </w:tcPr>
          <w:p w14:paraId="14657D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393" w:type="pct"/>
            <w:shd w:val="clear" w:color="auto" w:fill="auto"/>
            <w:vAlign w:val="center"/>
          </w:tcPr>
          <w:p w14:paraId="0CFB15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3B510F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51" w:type="pct"/>
            <w:shd w:val="clear" w:color="auto" w:fill="auto"/>
            <w:vAlign w:val="center"/>
          </w:tcPr>
          <w:p w14:paraId="5AD16BF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3.92</w:t>
            </w:r>
          </w:p>
        </w:tc>
      </w:tr>
      <w:tr w14:paraId="1B45D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770753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883" w:type="pct"/>
            <w:shd w:val="clear" w:color="auto" w:fill="auto"/>
            <w:vAlign w:val="center"/>
          </w:tcPr>
          <w:p w14:paraId="359727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智慧月台相机</w:t>
            </w:r>
          </w:p>
        </w:tc>
        <w:tc>
          <w:tcPr>
            <w:tcW w:w="1821" w:type="pct"/>
            <w:shd w:val="clear" w:color="auto" w:fill="auto"/>
            <w:vAlign w:val="top"/>
          </w:tcPr>
          <w:p w14:paraId="13CC59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1.采用深度学习算法，以海量图片及视频资源为路基，通过机器自身提取目标特征，形成深层可供学习的运输类车辆、车厢、人体、货物图片。车辆、车厢、人体、车位的检出率超过99%</w:t>
            </w:r>
          </w:p>
          <w:p w14:paraId="7D1623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2.支持月台、停车位等场景，车辆进、出状态监测报警</w:t>
            </w:r>
          </w:p>
          <w:p w14:paraId="3FC7BB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3.支持月台、停车位等场景，车辆进、出时车牌抓拍识别</w:t>
            </w:r>
          </w:p>
          <w:p w14:paraId="7039EF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4.支持月台、停车位等场景，车位有无车辆的实时监测报警</w:t>
            </w:r>
          </w:p>
          <w:p w14:paraId="1C29CF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5.支持月台场景，箱式货车后部门开关状态识别报警</w:t>
            </w:r>
          </w:p>
          <w:p w14:paraId="109A68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6.支持月台场景，箱式货车内部可视范围内装载率等级变化报警，精度支持10%和5%两个级别（仅针对一对一场景）</w:t>
            </w:r>
          </w:p>
          <w:p w14:paraId="411E58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7.支持月台场景，卸货区域搬运工等人员数量统计</w:t>
            </w:r>
          </w:p>
          <w:p w14:paraId="1F36FA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8.支持月台安全管理，车辆进入时，人体出现在车道进行安全报警</w:t>
            </w:r>
            <w:r>
              <w:rPr>
                <w:rFonts w:hint="eastAsia" w:ascii="宋体" w:hAnsi="宋体" w:eastAsia="宋体" w:cs="宋体"/>
                <w:b/>
                <w:bCs/>
                <w:sz w:val="24"/>
                <w:szCs w:val="24"/>
                <w:lang w:val="en-US" w:eastAsia="zh-CN"/>
              </w:rPr>
              <w:t>（评标项13）</w:t>
            </w:r>
          </w:p>
          <w:p w14:paraId="447F23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9.设备内置补光灯，补光亮度可调，保证夜间正常车辆检测、车牌抓拍识别、车厢内照明</w:t>
            </w:r>
            <w:r>
              <w:rPr>
                <w:rFonts w:hint="eastAsia" w:ascii="宋体" w:hAnsi="宋体" w:eastAsia="宋体" w:cs="宋体"/>
                <w:b/>
                <w:bCs/>
                <w:sz w:val="24"/>
                <w:szCs w:val="24"/>
                <w:lang w:val="en-US" w:eastAsia="zh-CN"/>
              </w:rPr>
              <w:t>（评标项14）</w:t>
            </w:r>
          </w:p>
          <w:p w14:paraId="4C2485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10.设备内置电动变焦镜头，操作便易，变焦过程平稳，方便适配各类场景</w:t>
            </w:r>
          </w:p>
          <w:p w14:paraId="4344BF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11.专用宽动态算法，支持月台场景全天候车厢内监控（加长车辆需要配合补光灯）</w:t>
            </w:r>
          </w:p>
          <w:p w14:paraId="1F933B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12.≥400万像素 CMOS传感器。</w:t>
            </w:r>
          </w:p>
          <w:p w14:paraId="76A110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13.具有不小于1/1.8"靶面尺寸。内置GPU芯片。内置不少于4颗白光灯。最低照度彩色不大于0.0002 lx，黑白不大于0.0001 lx。</w:t>
            </w:r>
          </w:p>
          <w:p w14:paraId="2F4605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14.设备水平中心分辨力不小于1500TVL。</w:t>
            </w:r>
          </w:p>
          <w:p w14:paraId="1B1417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15.支持H.264、H.265、MJPEG视频编码格式，且具有High Profile编码能力。</w:t>
            </w:r>
          </w:p>
          <w:p w14:paraId="1DD495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16.需支持三码流技术，主码流分辨率不小于2560x1440@25fps，子码流不小于704x576@25fps，第三码流不小于1920x1080@25fps。</w:t>
            </w:r>
          </w:p>
          <w:p w14:paraId="1B85DC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17.同一静止场景相同图像质量下，设备在H.265编码方式时，开启智能编码功能和不开启智能编码相比，码率节约80%。</w:t>
            </w:r>
          </w:p>
          <w:p w14:paraId="048017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18.支持月台车辆检测功能，可对驶入月台的机动车辆进行检测。支持在监控画面配置虚拟车位线并设置默认车牌首字母，可配置不少于2条检测车道。</w:t>
            </w:r>
          </w:p>
          <w:p w14:paraId="65D5BA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19.车辆检测准确率不小于99%。车牌识别准确率不小于99%。</w:t>
            </w:r>
          </w:p>
          <w:p w14:paraId="2926F3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20.支持人员统计功能，可对预设各车道的人员数量进行统计，并在视频画面中各车道叠加人员数量。支持开关门检测功能，可对画面中机动车开关门状态进行检测，并在视频画面中叠加检测结果。</w:t>
            </w:r>
          </w:p>
          <w:p w14:paraId="101048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21.支持车厢装载等级显示功能，可在视频画面中叠加车厢内物品装载等级信息。</w:t>
            </w:r>
          </w:p>
          <w:p w14:paraId="779E84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22.需支持IP67防尘防水。</w:t>
            </w:r>
          </w:p>
        </w:tc>
        <w:tc>
          <w:tcPr>
            <w:tcW w:w="482" w:type="pct"/>
            <w:shd w:val="clear" w:color="auto" w:fill="auto"/>
            <w:vAlign w:val="center"/>
          </w:tcPr>
          <w:p w14:paraId="6F4B5C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10</w:t>
            </w:r>
          </w:p>
        </w:tc>
        <w:tc>
          <w:tcPr>
            <w:tcW w:w="393" w:type="pct"/>
            <w:shd w:val="clear" w:color="auto" w:fill="auto"/>
            <w:vAlign w:val="center"/>
          </w:tcPr>
          <w:p w14:paraId="5532A1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0EC85E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0.4214</w:t>
            </w:r>
          </w:p>
        </w:tc>
        <w:tc>
          <w:tcPr>
            <w:tcW w:w="551" w:type="pct"/>
            <w:shd w:val="clear" w:color="auto" w:fill="auto"/>
            <w:vAlign w:val="center"/>
          </w:tcPr>
          <w:p w14:paraId="5E3D2A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4.214</w:t>
            </w:r>
          </w:p>
        </w:tc>
      </w:tr>
      <w:tr w14:paraId="62583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5FA9DB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883" w:type="pct"/>
            <w:shd w:val="clear" w:color="auto" w:fill="auto"/>
            <w:vAlign w:val="center"/>
          </w:tcPr>
          <w:p w14:paraId="79634A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网络半球摄像机</w:t>
            </w:r>
          </w:p>
        </w:tc>
        <w:tc>
          <w:tcPr>
            <w:tcW w:w="1821" w:type="pct"/>
            <w:shd w:val="clear" w:color="auto" w:fill="auto"/>
            <w:vAlign w:val="top"/>
          </w:tcPr>
          <w:p w14:paraId="4E1E5C3D">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2"/>
                <w:sz w:val="24"/>
                <w:szCs w:val="24"/>
                <w:lang w:val="en-US" w:eastAsia="zh-CN" w:bidi="ar-SA"/>
              </w:rPr>
            </w:pPr>
            <w:r>
              <w:rPr>
                <w:rFonts w:hint="eastAsia" w:ascii="宋体" w:hAnsi="宋体" w:eastAsia="宋体" w:cs="宋体"/>
                <w:color w:val="000000"/>
                <w:sz w:val="24"/>
                <w:szCs w:val="24"/>
                <w:lang w:val="en-US" w:eastAsia="zh-CN"/>
              </w:rPr>
              <w:t>400万1/2.7”CMOS ICR红外半球网络摄像机；H.265及H.264编码；最小照度 0.01Lux @(F1.2,AGC ON) ,0 Lux with IR；0.014 Lux @(F1.4,AGC ON), 0 Lux with IR；快门 1/3秒至1/100,000秒；镜头 4mm, 水平视场角：90.3°(6mm)；宽动态范围 120dB；帧率 50Hz： 25fps (1920 × 1080,1280 × 960,1280 × 720)；具有1对音频输入（Line in）/输出接口(插线式接口)、2对报警输入/输出；感兴趣区域 ROI三码流分别设置1个固定区域；存储功能，Micro SD（即为TF卡）/SDHC /SDXC卡(128G)断网本地存储,NAS(NFS,SMB/CIFS均支持)；人员聚集侦测,徘徊侦测,快速移动侦测,进入区域侦测,离开区域侦测，音频异常侦测；智能后检索，配合NVR支持事件的二次检索分析；工作温度和湿度 -30℃~60℃,湿度小于95%(无凝结)；电源供应 DC12V±25% / PoE(802.3af)；功耗 9W MAX；红外照射距离最远可达50米；防护等级 IP67</w:t>
            </w:r>
          </w:p>
        </w:tc>
        <w:tc>
          <w:tcPr>
            <w:tcW w:w="482" w:type="pct"/>
            <w:shd w:val="clear" w:color="auto" w:fill="auto"/>
            <w:vAlign w:val="center"/>
          </w:tcPr>
          <w:p w14:paraId="201AA0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6</w:t>
            </w:r>
          </w:p>
        </w:tc>
        <w:tc>
          <w:tcPr>
            <w:tcW w:w="393" w:type="pct"/>
            <w:shd w:val="clear" w:color="auto" w:fill="auto"/>
            <w:vAlign w:val="center"/>
          </w:tcPr>
          <w:p w14:paraId="132B77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2412CC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c>
          <w:tcPr>
            <w:tcW w:w="551" w:type="pct"/>
            <w:shd w:val="clear" w:color="auto" w:fill="auto"/>
            <w:vAlign w:val="center"/>
          </w:tcPr>
          <w:p w14:paraId="74469DC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1.764</w:t>
            </w:r>
          </w:p>
        </w:tc>
      </w:tr>
      <w:tr w14:paraId="6B93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4FD50D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883" w:type="pct"/>
            <w:shd w:val="clear" w:color="auto" w:fill="auto"/>
            <w:vAlign w:val="center"/>
          </w:tcPr>
          <w:p w14:paraId="00AB9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月台显示屏</w:t>
            </w:r>
          </w:p>
        </w:tc>
        <w:tc>
          <w:tcPr>
            <w:tcW w:w="1821" w:type="pct"/>
            <w:shd w:val="clear" w:color="auto" w:fill="auto"/>
            <w:vAlign w:val="top"/>
          </w:tcPr>
          <w:p w14:paraId="52B0A4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rPr>
              <w:t>具有</w:t>
            </w:r>
            <w:r>
              <w:rPr>
                <w:rFonts w:hint="eastAsia" w:ascii="宋体" w:hAnsi="宋体" w:eastAsia="宋体" w:cs="宋体"/>
                <w:color w:val="000000"/>
                <w:sz w:val="24"/>
                <w:szCs w:val="24"/>
                <w:lang w:val="en-US" w:eastAsia="zh-CN"/>
              </w:rPr>
              <w:t>及时</w:t>
            </w:r>
            <w:r>
              <w:rPr>
                <w:rFonts w:hint="eastAsia" w:ascii="宋体" w:hAnsi="宋体" w:eastAsia="宋体" w:cs="宋体"/>
                <w:color w:val="000000"/>
                <w:sz w:val="24"/>
                <w:szCs w:val="24"/>
              </w:rPr>
              <w:t>显示文字和语音播报的功能。</w:t>
            </w:r>
          </w:p>
          <w:p w14:paraId="3ABE2F0F">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配置标准RJ45通讯方式，可动态显示汉字或数字信息。</w:t>
            </w:r>
          </w:p>
          <w:p w14:paraId="34465C48">
            <w:pPr>
              <w:keepNext w:val="0"/>
              <w:keepLines w:val="0"/>
              <w:pageBreakBefore w:val="0"/>
              <w:widowControl/>
              <w:numPr>
                <w:ilvl w:val="-1"/>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显示颜色可根据系统配置实现自动切换功能。</w:t>
            </w:r>
          </w:p>
        </w:tc>
        <w:tc>
          <w:tcPr>
            <w:tcW w:w="482" w:type="pct"/>
            <w:shd w:val="clear" w:color="auto" w:fill="auto"/>
            <w:vAlign w:val="center"/>
          </w:tcPr>
          <w:p w14:paraId="7A3A63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393" w:type="pct"/>
            <w:shd w:val="clear" w:color="auto" w:fill="auto"/>
            <w:vAlign w:val="center"/>
          </w:tcPr>
          <w:p w14:paraId="4B016E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14AF805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0.245</w:t>
            </w:r>
          </w:p>
        </w:tc>
        <w:tc>
          <w:tcPr>
            <w:tcW w:w="551" w:type="pct"/>
            <w:shd w:val="clear" w:color="auto" w:fill="auto"/>
            <w:vAlign w:val="center"/>
          </w:tcPr>
          <w:p w14:paraId="03A4D8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55785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3F0496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883" w:type="pct"/>
            <w:shd w:val="clear" w:color="auto" w:fill="auto"/>
            <w:vAlign w:val="center"/>
          </w:tcPr>
          <w:p w14:paraId="39EC73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双光谱球机</w:t>
            </w:r>
          </w:p>
        </w:tc>
        <w:tc>
          <w:tcPr>
            <w:tcW w:w="1821" w:type="pct"/>
            <w:shd w:val="clear" w:color="auto" w:fill="auto"/>
            <w:vAlign w:val="center"/>
          </w:tcPr>
          <w:p w14:paraId="355416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1.具备故障自诊断系统，可自动识别系统故障（包括视频图像异常、系统异常重启、云台异常、镜头运行状态异常、网络异常、智能分析异常、算法状态异常、电机状态异常等）并可通过OSD进行显示及后台输出；</w:t>
            </w:r>
            <w:r>
              <w:rPr>
                <w:rFonts w:hint="eastAsia" w:ascii="宋体" w:hAnsi="宋体" w:eastAsia="宋体" w:cs="宋体"/>
                <w:b/>
                <w:bCs/>
                <w:sz w:val="24"/>
                <w:szCs w:val="24"/>
                <w:lang w:val="en-US" w:eastAsia="zh-CN"/>
              </w:rPr>
              <w:t>（评标项15）</w:t>
            </w:r>
            <w:r>
              <w:rPr>
                <w:rFonts w:hint="eastAsia" w:ascii="宋体" w:hAnsi="宋体" w:eastAsia="宋体" w:cs="宋体"/>
                <w:color w:val="000000"/>
                <w:kern w:val="0"/>
                <w:sz w:val="24"/>
                <w:szCs w:val="24"/>
              </w:rPr>
              <w:t xml:space="preserve"> </w:t>
            </w:r>
          </w:p>
          <w:p w14:paraId="575494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b/>
                <w:bCs/>
                <w:color w:val="000000"/>
                <w:kern w:val="0"/>
                <w:sz w:val="24"/>
                <w:szCs w:val="24"/>
              </w:rPr>
            </w:pPr>
            <w:r>
              <w:rPr>
                <w:rFonts w:hint="eastAsia" w:ascii="宋体" w:hAnsi="宋体" w:eastAsia="宋体" w:cs="宋体"/>
                <w:color w:val="000000"/>
                <w:kern w:val="0"/>
                <w:sz w:val="24"/>
                <w:szCs w:val="24"/>
              </w:rPr>
              <w:t>2.可根据温度变化自动调整聚焦；</w:t>
            </w:r>
            <w:r>
              <w:rPr>
                <w:rFonts w:hint="eastAsia" w:ascii="宋体" w:hAnsi="宋体" w:eastAsia="宋体" w:cs="宋体"/>
                <w:b/>
                <w:bCs/>
                <w:sz w:val="24"/>
                <w:szCs w:val="24"/>
                <w:lang w:val="en-US" w:eastAsia="zh-CN"/>
              </w:rPr>
              <w:t>（评标项16）</w:t>
            </w:r>
          </w:p>
          <w:p w14:paraId="4EE7C0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b/>
                <w:bCs/>
                <w:color w:val="000000"/>
                <w:kern w:val="0"/>
                <w:sz w:val="24"/>
                <w:szCs w:val="24"/>
              </w:rPr>
            </w:pPr>
            <w:r>
              <w:rPr>
                <w:rFonts w:hint="eastAsia" w:ascii="宋体" w:hAnsi="宋体" w:eastAsia="宋体" w:cs="宋体"/>
                <w:color w:val="000000"/>
                <w:kern w:val="0"/>
                <w:sz w:val="24"/>
                <w:szCs w:val="24"/>
              </w:rPr>
              <w:t>3.支持目标热源细节凸显，并可对指定热源细节进行增强显示；</w:t>
            </w:r>
            <w:r>
              <w:rPr>
                <w:rFonts w:hint="eastAsia" w:ascii="宋体" w:hAnsi="宋体" w:eastAsia="宋体" w:cs="宋体"/>
                <w:b/>
                <w:bCs/>
                <w:sz w:val="24"/>
                <w:szCs w:val="24"/>
                <w:lang w:val="en-US" w:eastAsia="zh-CN"/>
              </w:rPr>
              <w:t>（评标项17）</w:t>
            </w:r>
          </w:p>
          <w:p w14:paraId="18B2CE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4.可外接空间感知模块，并可显示经纬度、海拔高度、方位角坐标等信息；</w:t>
            </w:r>
            <w:r>
              <w:rPr>
                <w:rFonts w:hint="eastAsia" w:ascii="宋体" w:hAnsi="宋体" w:eastAsia="宋体" w:cs="宋体"/>
                <w:b/>
                <w:bCs/>
                <w:sz w:val="24"/>
                <w:szCs w:val="24"/>
                <w:lang w:val="en-US" w:eastAsia="zh-CN"/>
              </w:rPr>
              <w:t>（评标项18）</w:t>
            </w:r>
          </w:p>
          <w:p w14:paraId="764686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可见光镜头符合焦距6mm~336mm，光学变倍≥56倍；</w:t>
            </w:r>
            <w:r>
              <w:rPr>
                <w:rFonts w:hint="eastAsia" w:ascii="宋体" w:hAnsi="宋体" w:eastAsia="宋体" w:cs="宋体"/>
                <w:b/>
                <w:bCs/>
                <w:sz w:val="24"/>
                <w:szCs w:val="24"/>
                <w:lang w:val="en-US" w:eastAsia="zh-CN"/>
              </w:rPr>
              <w:t>（评标项19）</w:t>
            </w:r>
          </w:p>
          <w:p w14:paraId="2ABD1A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6.可对内部进行循环通风操作并进行可见光视窗温度稳定性校正；</w:t>
            </w:r>
            <w:r>
              <w:rPr>
                <w:rFonts w:hint="eastAsia" w:ascii="宋体" w:hAnsi="宋体" w:eastAsia="宋体" w:cs="宋体"/>
                <w:b/>
                <w:bCs/>
                <w:sz w:val="24"/>
                <w:szCs w:val="24"/>
                <w:lang w:val="en-US" w:eastAsia="zh-CN"/>
              </w:rPr>
              <w:t>（评标项20）</w:t>
            </w:r>
          </w:p>
          <w:p w14:paraId="57278F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sz w:val="24"/>
                <w:szCs w:val="24"/>
              </w:rPr>
            </w:pPr>
            <w:r>
              <w:rPr>
                <w:rFonts w:hint="eastAsia" w:ascii="宋体" w:hAnsi="宋体" w:eastAsia="宋体" w:cs="宋体"/>
                <w:color w:val="000000"/>
                <w:kern w:val="0"/>
                <w:sz w:val="24"/>
                <w:szCs w:val="24"/>
              </w:rPr>
              <w:t>7.可对监控画面中出现的船只进行检测、跟踪，并将船只类型信息在热成像监控画面上进行显示</w:t>
            </w:r>
            <w:r>
              <w:rPr>
                <w:rFonts w:hint="eastAsia" w:ascii="宋体" w:hAnsi="宋体" w:eastAsia="宋体" w:cs="宋体"/>
                <w:color w:val="000000"/>
                <w:kern w:val="0"/>
                <w:sz w:val="24"/>
                <w:szCs w:val="24"/>
                <w:lang w:eastAsia="zh-CN"/>
              </w:rPr>
              <w:t>。</w:t>
            </w:r>
            <w:r>
              <w:rPr>
                <w:rFonts w:hint="eastAsia" w:ascii="宋体" w:hAnsi="宋体" w:eastAsia="宋体" w:cs="宋体"/>
                <w:b/>
                <w:bCs/>
                <w:sz w:val="24"/>
                <w:szCs w:val="24"/>
                <w:lang w:val="en-US" w:eastAsia="zh-CN"/>
              </w:rPr>
              <w:t>（评标项21）</w:t>
            </w:r>
          </w:p>
          <w:p w14:paraId="11B89B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8</w:t>
            </w:r>
            <w:r>
              <w:rPr>
                <w:rFonts w:hint="eastAsia" w:ascii="宋体" w:hAnsi="宋体" w:eastAsia="宋体" w:cs="宋体"/>
                <w:color w:val="000000"/>
                <w:kern w:val="0"/>
                <w:sz w:val="24"/>
                <w:szCs w:val="24"/>
              </w:rPr>
              <w:t>.设备支持≥3个MCU独立控制系统；</w:t>
            </w:r>
          </w:p>
          <w:p w14:paraId="276C77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9</w:t>
            </w:r>
            <w:r>
              <w:rPr>
                <w:rFonts w:hint="eastAsia" w:ascii="宋体" w:hAnsi="宋体" w:eastAsia="宋体" w:cs="宋体"/>
                <w:color w:val="000000"/>
                <w:kern w:val="0"/>
                <w:sz w:val="24"/>
                <w:szCs w:val="24"/>
              </w:rPr>
              <w:t>.设备支持热成像镜头磁编反馈系统；</w:t>
            </w:r>
          </w:p>
          <w:p w14:paraId="4E4B4F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0</w:t>
            </w:r>
            <w:r>
              <w:rPr>
                <w:rFonts w:hint="eastAsia" w:ascii="宋体" w:hAnsi="宋体" w:eastAsia="宋体" w:cs="宋体"/>
                <w:color w:val="000000"/>
                <w:kern w:val="0"/>
                <w:sz w:val="24"/>
                <w:szCs w:val="24"/>
              </w:rPr>
              <w:t>.设备含有姿态感知模块；</w:t>
            </w:r>
          </w:p>
          <w:p w14:paraId="21CA8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.噪声等效温差(NETD)在8mk及以下；</w:t>
            </w:r>
          </w:p>
          <w:p w14:paraId="705780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.最小可分辨温差（MRTD）在150mk及以下；</w:t>
            </w:r>
          </w:p>
          <w:p w14:paraId="5F6C23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.云台定位准确度：≤0.001°；</w:t>
            </w:r>
          </w:p>
          <w:p w14:paraId="1D44C5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.应支持GPS 定位、 北斗定位， 具有远程定位功能，并应支持位置信息上传；</w:t>
            </w:r>
          </w:p>
          <w:p w14:paraId="7793B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.在丢包率设置为45%的网络环境下，可正常显示监视画面；</w:t>
            </w:r>
          </w:p>
          <w:p w14:paraId="539A0A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.可见光低照度，彩色≤0.0002lx，黑白≤0.0001lx）；</w:t>
            </w:r>
          </w:p>
          <w:p w14:paraId="1D9BE6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.可见光视频图像和热成像视频图像：≥16倍数字变倍；</w:t>
            </w:r>
          </w:p>
          <w:p w14:paraId="46677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18</w:t>
            </w:r>
            <w:r>
              <w:rPr>
                <w:rFonts w:hint="eastAsia" w:ascii="宋体" w:hAnsi="宋体" w:eastAsia="宋体" w:cs="宋体"/>
                <w:color w:val="000000"/>
                <w:kern w:val="0"/>
                <w:sz w:val="24"/>
                <w:szCs w:val="24"/>
              </w:rPr>
              <w:t>. 垂直旋转范围：-40°～90°</w:t>
            </w:r>
          </w:p>
        </w:tc>
        <w:tc>
          <w:tcPr>
            <w:tcW w:w="482" w:type="pct"/>
            <w:shd w:val="clear" w:color="auto" w:fill="auto"/>
            <w:vAlign w:val="center"/>
          </w:tcPr>
          <w:p w14:paraId="520EF1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4098AB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25F086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51" w:type="pct"/>
            <w:shd w:val="clear" w:color="auto" w:fill="auto"/>
            <w:vAlign w:val="center"/>
          </w:tcPr>
          <w:p w14:paraId="424BD8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64429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60CCA5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883" w:type="pct"/>
            <w:shd w:val="clear" w:color="auto" w:fill="auto"/>
            <w:vAlign w:val="center"/>
          </w:tcPr>
          <w:p w14:paraId="66F8D1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全结构化系列摄像机</w:t>
            </w:r>
          </w:p>
        </w:tc>
        <w:tc>
          <w:tcPr>
            <w:tcW w:w="1821" w:type="pct"/>
            <w:shd w:val="clear" w:color="auto" w:fill="auto"/>
            <w:vAlign w:val="center"/>
          </w:tcPr>
          <w:p w14:paraId="1E5F70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主码流支持2560×1440@25fps，子码流支持704×576@25fps，第三码流支持1920×1080@25fps</w:t>
            </w:r>
          </w:p>
          <w:p w14:paraId="2E7667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2.具有不小于1/1.8"英寸传感器。</w:t>
            </w:r>
          </w:p>
          <w:p w14:paraId="5F3A99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最低照度彩色不大于0.0002lx，黑白不大于0.0001 lx。</w:t>
            </w:r>
          </w:p>
          <w:p w14:paraId="184B44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4.内置2.7~13.5mm镜头，支持电动变焦。</w:t>
            </w:r>
          </w:p>
          <w:p w14:paraId="6A1D94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5.支持H.264、H.265、MJPEG视频编码格式，且具有High Profile编码能力。</w:t>
            </w:r>
          </w:p>
          <w:p w14:paraId="39CE04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6.同一场景相同图像质量下设备在H.264或H.265编码时，开启智能编码和不开启智能编码相比，码率节约≥90%；</w:t>
            </w:r>
          </w:p>
          <w:p w14:paraId="27C331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sz w:val="24"/>
                <w:szCs w:val="24"/>
              </w:rPr>
            </w:pPr>
            <w:r>
              <w:rPr>
                <w:rFonts w:hint="eastAsia" w:ascii="宋体" w:hAnsi="宋体" w:eastAsia="宋体" w:cs="宋体"/>
                <w:color w:val="000000"/>
                <w:kern w:val="0"/>
                <w:sz w:val="24"/>
                <w:szCs w:val="24"/>
              </w:rPr>
              <w:t>7.在分辨率1920x1080 @ 25fps，码流设置为1Mbps时，视频图像传输延时不大于60ms。</w:t>
            </w:r>
            <w:r>
              <w:rPr>
                <w:rFonts w:hint="eastAsia" w:ascii="宋体" w:hAnsi="宋体" w:eastAsia="宋体" w:cs="宋体"/>
                <w:b/>
                <w:bCs/>
                <w:sz w:val="24"/>
                <w:szCs w:val="24"/>
                <w:lang w:val="en-US" w:eastAsia="zh-CN"/>
              </w:rPr>
              <w:t>（评标项22）</w:t>
            </w:r>
          </w:p>
          <w:p w14:paraId="42270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rPr>
              <w:t>8</w:t>
            </w:r>
            <w:r>
              <w:rPr>
                <w:rFonts w:hint="eastAsia" w:ascii="宋体" w:hAnsi="宋体" w:eastAsia="宋体" w:cs="宋体"/>
                <w:color w:val="000000"/>
                <w:kern w:val="0"/>
                <w:sz w:val="24"/>
                <w:szCs w:val="24"/>
              </w:rPr>
              <w:t>.支持周界防范功能，当区域入侵、越界侦测、进入区域、离开区域报警布防开启后，出现行人、非机动车、机动车目标时能触发报警，当检测区域中篮球滚动、小狗移动、树叶晃动及光线明暗变化时不会触发报警。</w:t>
            </w:r>
          </w:p>
          <w:p w14:paraId="729DCF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9</w:t>
            </w:r>
            <w:r>
              <w:rPr>
                <w:rFonts w:hint="eastAsia" w:ascii="宋体" w:hAnsi="宋体" w:eastAsia="宋体" w:cs="宋体"/>
                <w:color w:val="000000"/>
                <w:kern w:val="0"/>
                <w:sz w:val="24"/>
                <w:szCs w:val="24"/>
              </w:rPr>
              <w:t>.支持抓拍、识别新能源汽车号牌。</w:t>
            </w:r>
          </w:p>
          <w:p w14:paraId="16FDEC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0</w:t>
            </w:r>
            <w:r>
              <w:rPr>
                <w:rFonts w:hint="eastAsia" w:ascii="宋体" w:hAnsi="宋体" w:eastAsia="宋体" w:cs="宋体"/>
                <w:color w:val="000000"/>
                <w:kern w:val="0"/>
                <w:sz w:val="24"/>
                <w:szCs w:val="24"/>
              </w:rPr>
              <w:t>.可对检测区域内不低于60个目标（机动车、非机动车及行人）进行检测、框选跟踪、筛选、抓拍，可将人脸与人体关联显示。</w:t>
            </w:r>
          </w:p>
          <w:p w14:paraId="2CE6CF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在浏览器下，具有设备重启和布防动态报警数据感知与记录功能，布防动态报警数据包括异常掉线、历史布防、实时布防3种类型；可记录报警的开始时间、结束时间、布防类型、报警链路地址、端口、链路续传。</w:t>
            </w:r>
          </w:p>
          <w:p w14:paraId="1DABDA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12</w:t>
            </w:r>
            <w:r>
              <w:rPr>
                <w:rFonts w:hint="eastAsia" w:ascii="宋体" w:hAnsi="宋体" w:eastAsia="宋体" w:cs="宋体"/>
                <w:color w:val="000000"/>
                <w:kern w:val="0"/>
                <w:sz w:val="24"/>
                <w:szCs w:val="24"/>
              </w:rPr>
              <w:t>.设备具有耀光抑制功能，耀光区域≤1%。</w:t>
            </w:r>
          </w:p>
          <w:p w14:paraId="17E2BD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.内置4颗混合补光灯，每颗由红外和白光灯组成。</w:t>
            </w:r>
          </w:p>
          <w:p w14:paraId="1347D1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.内置鳞镜式补光灯，灯杯为半弧形网格鳞片状；灯珠朝向与样机照射方向不同，补光灯开启后正面不可见补光灯灯珠。补光灯开启后灯光均匀无波纹、麻点状、条纹状和不规则亮斑。</w:t>
            </w:r>
            <w:r>
              <w:rPr>
                <w:rFonts w:hint="eastAsia" w:ascii="宋体" w:hAnsi="宋体" w:eastAsia="宋体" w:cs="宋体"/>
                <w:b/>
                <w:bCs/>
                <w:sz w:val="24"/>
                <w:szCs w:val="24"/>
                <w:lang w:val="en-US" w:eastAsia="zh-CN"/>
              </w:rPr>
              <w:t>（评标项23）</w:t>
            </w:r>
          </w:p>
          <w:p w14:paraId="1DAA00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 需支持IP67防尘防水。</w:t>
            </w:r>
          </w:p>
        </w:tc>
        <w:tc>
          <w:tcPr>
            <w:tcW w:w="482" w:type="pct"/>
            <w:shd w:val="clear" w:color="auto" w:fill="auto"/>
            <w:vAlign w:val="center"/>
          </w:tcPr>
          <w:p w14:paraId="21DDDB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393" w:type="pct"/>
            <w:shd w:val="clear" w:color="auto" w:fill="auto"/>
            <w:vAlign w:val="center"/>
          </w:tcPr>
          <w:p w14:paraId="6C323E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1FF15AA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51" w:type="pct"/>
            <w:shd w:val="clear" w:color="auto" w:fill="auto"/>
            <w:vAlign w:val="center"/>
          </w:tcPr>
          <w:p w14:paraId="25B774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37732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3B619D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7</w:t>
            </w:r>
          </w:p>
        </w:tc>
        <w:tc>
          <w:tcPr>
            <w:tcW w:w="883" w:type="pct"/>
            <w:shd w:val="clear" w:color="auto" w:fill="auto"/>
            <w:vAlign w:val="center"/>
          </w:tcPr>
          <w:p w14:paraId="0EF29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LCD显示器</w:t>
            </w:r>
          </w:p>
        </w:tc>
        <w:tc>
          <w:tcPr>
            <w:tcW w:w="1821" w:type="pct"/>
            <w:shd w:val="clear" w:color="auto" w:fill="auto"/>
            <w:vAlign w:val="center"/>
          </w:tcPr>
          <w:p w14:paraId="3783E3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w:t>
            </w:r>
            <w:r>
              <w:rPr>
                <w:rFonts w:hint="eastAsia" w:ascii="宋体" w:hAnsi="宋体" w:eastAsia="宋体" w:cs="宋体"/>
                <w:color w:val="000000"/>
                <w:kern w:val="0"/>
                <w:sz w:val="24"/>
                <w:szCs w:val="24"/>
              </w:rPr>
              <w:t>物理分辨率：1920 × 1080@60 Hz（向下兼容）</w:t>
            </w:r>
          </w:p>
          <w:p w14:paraId="73EA82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2</w:t>
            </w:r>
            <w:r>
              <w:rPr>
                <w:rFonts w:hint="eastAsia" w:ascii="宋体" w:hAnsi="宋体" w:eastAsia="宋体" w:cs="宋体"/>
                <w:color w:val="000000"/>
                <w:kern w:val="0"/>
                <w:sz w:val="24"/>
                <w:szCs w:val="24"/>
              </w:rPr>
              <w:t>. 亮度：</w:t>
            </w:r>
            <w:r>
              <w:rPr>
                <w:rFonts w:hint="eastAsia" w:ascii="宋体" w:hAnsi="宋体" w:eastAsia="宋体" w:cs="宋体"/>
                <w:color w:val="000000"/>
                <w:kern w:val="0"/>
                <w:sz w:val="24"/>
                <w:szCs w:val="24"/>
                <w:lang w:bidi="ar"/>
              </w:rPr>
              <w:t>≥</w:t>
            </w:r>
            <w:r>
              <w:rPr>
                <w:rFonts w:hint="eastAsia" w:ascii="宋体" w:hAnsi="宋体" w:eastAsia="宋体" w:cs="宋体"/>
                <w:color w:val="000000"/>
                <w:kern w:val="0"/>
                <w:sz w:val="24"/>
                <w:szCs w:val="24"/>
              </w:rPr>
              <w:t>500 cd/m²</w:t>
            </w:r>
          </w:p>
          <w:p w14:paraId="65477C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 可视角：≥178°(水平)/ 178°(垂直)</w:t>
            </w:r>
          </w:p>
          <w:p w14:paraId="6D1B48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4</w:t>
            </w:r>
            <w:r>
              <w:rPr>
                <w:rFonts w:hint="eastAsia" w:ascii="宋体" w:hAnsi="宋体" w:eastAsia="宋体" w:cs="宋体"/>
                <w:color w:val="000000"/>
                <w:kern w:val="0"/>
                <w:sz w:val="24"/>
                <w:szCs w:val="24"/>
              </w:rPr>
              <w:t>. 显控系统支持自动检测输入源的信号类型，根据信号源类型和显示位置，自动配置信号源所在屏幕的显示场景模式。</w:t>
            </w:r>
          </w:p>
        </w:tc>
        <w:tc>
          <w:tcPr>
            <w:tcW w:w="482" w:type="pct"/>
            <w:shd w:val="clear" w:color="auto" w:fill="auto"/>
            <w:vAlign w:val="center"/>
          </w:tcPr>
          <w:p w14:paraId="4D33D5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w:t>
            </w:r>
          </w:p>
        </w:tc>
        <w:tc>
          <w:tcPr>
            <w:tcW w:w="393" w:type="pct"/>
            <w:shd w:val="clear" w:color="auto" w:fill="auto"/>
            <w:vAlign w:val="center"/>
          </w:tcPr>
          <w:p w14:paraId="5C917D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27249A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0.098</w:t>
            </w:r>
          </w:p>
        </w:tc>
        <w:tc>
          <w:tcPr>
            <w:tcW w:w="551" w:type="pct"/>
            <w:shd w:val="clear" w:color="auto" w:fill="auto"/>
            <w:vAlign w:val="center"/>
          </w:tcPr>
          <w:p w14:paraId="36615F5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0.882</w:t>
            </w:r>
          </w:p>
        </w:tc>
      </w:tr>
      <w:tr w14:paraId="70F67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71BBA3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p>
        </w:tc>
        <w:tc>
          <w:tcPr>
            <w:tcW w:w="883" w:type="pct"/>
            <w:shd w:val="clear" w:color="auto" w:fill="auto"/>
            <w:vAlign w:val="center"/>
          </w:tcPr>
          <w:p w14:paraId="05ED8C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超高清解码器</w:t>
            </w:r>
          </w:p>
        </w:tc>
        <w:tc>
          <w:tcPr>
            <w:tcW w:w="1821" w:type="pct"/>
            <w:shd w:val="clear" w:color="auto" w:fill="auto"/>
            <w:vAlign w:val="center"/>
          </w:tcPr>
          <w:p w14:paraId="448757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 基于嵌入式硬件平台开发的一款解码设备；</w:t>
            </w:r>
          </w:p>
          <w:p w14:paraId="2C5D0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 支持HDMI、BNC输出口解码输出；</w:t>
            </w:r>
          </w:p>
          <w:p w14:paraId="3DCC43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 支持H.265、H.264、MPEG4、MJPEG等多种编码码流解码，解码性能强劲，支持4K超高清输出；HDMI（奇数口）输出分辨率最高支持4K（3840 × 2160@30 Hz）；</w:t>
            </w:r>
          </w:p>
          <w:p w14:paraId="08C8E7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 支持H.265、H.264、MPEG4、MJPEG等主流的编码格式的解码；</w:t>
            </w:r>
          </w:p>
          <w:p w14:paraId="5BC424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 支持PS、RTP、TS、ES等主流的封装格式的解码；</w:t>
            </w:r>
          </w:p>
          <w:p w14:paraId="4EDF8C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 支持H.265、H.264的Baseline、Main、High-profile编码级别的解码；</w:t>
            </w:r>
          </w:p>
          <w:p w14:paraId="59C4F5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 支持G.722、G.711A、G.726、G.711U、MPEG2-L2、AAC音频格式的解码；</w:t>
            </w:r>
          </w:p>
          <w:p w14:paraId="64FFAA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 多元化的解码控制模式；</w:t>
            </w:r>
          </w:p>
          <w:p w14:paraId="0387F5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 支持主动解码和被动解码两种解码模式；</w:t>
            </w:r>
          </w:p>
          <w:p w14:paraId="0A32FE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 支持VGA、DVI、HDMI本地输入；</w:t>
            </w:r>
          </w:p>
          <w:p w14:paraId="7010A0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 支持回字形拼接，支持对解码的IPC输出的画面进行旋转，支持90°、180°左旋和90°、180°右旋；</w:t>
            </w:r>
          </w:p>
          <w:p w14:paraId="432712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 支持开窗、窗口漫游、窗口分屏功能；支持远程录像文件的解码输出；支持DDNS前端解码；支持直连前端设备解码上墙和通过流媒体转发的方式解码上墙；</w:t>
            </w:r>
          </w:p>
          <w:p w14:paraId="16351B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 支持使用RTSP URL方式从编码设备取流解码；支持open network video interface标准协议接入设备，支持GB28181协议接入设备；</w:t>
            </w:r>
          </w:p>
          <w:p w14:paraId="6C2455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 支持RTP\RTSP协议进行网络源预览；支持平台以SDK方式集成设备；</w:t>
            </w:r>
          </w:p>
          <w:p w14:paraId="38699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 支持PC 软件客户端、WEB 浏览器客户端、平台客户端、IPAD、可视化触控平台、遥控器方式访问管理。</w:t>
            </w:r>
          </w:p>
          <w:p w14:paraId="0C39C8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6</w:t>
            </w:r>
            <w:r>
              <w:rPr>
                <w:rFonts w:hint="eastAsia" w:ascii="宋体" w:hAnsi="宋体" w:eastAsia="宋体" w:cs="宋体"/>
                <w:color w:val="000000"/>
                <w:kern w:val="0"/>
                <w:sz w:val="24"/>
                <w:szCs w:val="24"/>
              </w:rPr>
              <w:t>. 输入输出参数输入参数：2路VGA, 2路DVI/HDMI；DVI/HDMI输入2选1；输入分辨率：输入分辨率：1080P</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 xml:space="preserve"> 1920 × 1080@50/60 Hz, 720P</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 xml:space="preserve"> 1280 × 720@50/60 Hz，4K：3840 × 2160@30 Hz（仅HDMI输入口支持）；</w:t>
            </w:r>
          </w:p>
          <w:p w14:paraId="654582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7</w:t>
            </w:r>
            <w:r>
              <w:rPr>
                <w:rFonts w:hint="eastAsia" w:ascii="宋体" w:hAnsi="宋体" w:eastAsia="宋体" w:cs="宋体"/>
                <w:color w:val="000000"/>
                <w:kern w:val="0"/>
                <w:sz w:val="24"/>
                <w:szCs w:val="24"/>
              </w:rPr>
              <w:t>. 输出参数：10路HDMI, 5路BNC；输出分辨率：HDMI</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4K</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 xml:space="preserve"> 3840 × 2160@30 Hz(仅奇数口支持), 1080p</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 xml:space="preserve"> 1920 × 1080@60/50 Hz, 720p</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 xml:space="preserve"> 1280 × 720@50 Hz/60 Hz</w:t>
            </w:r>
          </w:p>
          <w:p w14:paraId="7FC29E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r>
              <w:rPr>
                <w:rFonts w:hint="eastAsia" w:ascii="宋体" w:hAnsi="宋体" w:eastAsia="宋体" w:cs="宋体"/>
                <w:color w:val="000000"/>
                <w:kern w:val="0"/>
                <w:sz w:val="24"/>
                <w:szCs w:val="24"/>
                <w:lang w:val="en-US" w:eastAsia="zh-CN"/>
              </w:rPr>
              <w:t>8</w:t>
            </w:r>
            <w:r>
              <w:rPr>
                <w:rFonts w:hint="eastAsia" w:ascii="宋体" w:hAnsi="宋体" w:eastAsia="宋体" w:cs="宋体"/>
                <w:color w:val="000000"/>
                <w:kern w:val="0"/>
                <w:sz w:val="24"/>
                <w:szCs w:val="24"/>
              </w:rPr>
              <w:t>. 解码参数：解码分辨率：最高3200W像素；解码通道：160；解码能力：支持5路多轨3200W，或5路1600W，或20路800W，或90路1080P 或160路720P及以下分辨率同时实时解码</w:t>
            </w:r>
          </w:p>
          <w:p w14:paraId="2124C1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19</w:t>
            </w:r>
            <w:r>
              <w:rPr>
                <w:rFonts w:hint="eastAsia" w:ascii="宋体" w:hAnsi="宋体" w:eastAsia="宋体" w:cs="宋体"/>
                <w:color w:val="000000"/>
                <w:kern w:val="0"/>
                <w:sz w:val="24"/>
                <w:szCs w:val="24"/>
              </w:rPr>
              <w:t>. 画面分割数：1/2/4/6/8/9/12/16/25/36</w:t>
            </w:r>
          </w:p>
          <w:p w14:paraId="7BA24C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2</w:t>
            </w:r>
            <w:r>
              <w:rPr>
                <w:rFonts w:hint="eastAsia" w:ascii="宋体" w:hAnsi="宋体" w:eastAsia="宋体" w:cs="宋体"/>
                <w:color w:val="000000"/>
                <w:kern w:val="0"/>
                <w:sz w:val="24"/>
                <w:szCs w:val="24"/>
                <w:lang w:val="en-US" w:eastAsia="zh-CN"/>
              </w:rPr>
              <w:t>0</w:t>
            </w:r>
            <w:r>
              <w:rPr>
                <w:rFonts w:hint="eastAsia" w:ascii="宋体" w:hAnsi="宋体" w:eastAsia="宋体" w:cs="宋体"/>
                <w:color w:val="000000"/>
                <w:kern w:val="0"/>
                <w:sz w:val="24"/>
                <w:szCs w:val="24"/>
              </w:rPr>
              <w:t>. 网口：≥2个 RJ45 10M/100M/1000Mbps 自适应以太网接口</w:t>
            </w:r>
          </w:p>
        </w:tc>
        <w:tc>
          <w:tcPr>
            <w:tcW w:w="482" w:type="pct"/>
            <w:shd w:val="clear" w:color="auto" w:fill="auto"/>
            <w:vAlign w:val="center"/>
          </w:tcPr>
          <w:p w14:paraId="06A3A8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7C72B2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49375B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0.882</w:t>
            </w:r>
          </w:p>
        </w:tc>
        <w:tc>
          <w:tcPr>
            <w:tcW w:w="551" w:type="pct"/>
            <w:shd w:val="clear" w:color="auto" w:fill="auto"/>
            <w:vAlign w:val="center"/>
          </w:tcPr>
          <w:p w14:paraId="29204D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0.882</w:t>
            </w:r>
          </w:p>
        </w:tc>
      </w:tr>
      <w:tr w14:paraId="4A221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385E55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9</w:t>
            </w:r>
          </w:p>
        </w:tc>
        <w:tc>
          <w:tcPr>
            <w:tcW w:w="883" w:type="pct"/>
            <w:shd w:val="clear" w:color="auto" w:fill="auto"/>
            <w:vAlign w:val="center"/>
          </w:tcPr>
          <w:p w14:paraId="7FCBD0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监控专用硬盘</w:t>
            </w:r>
          </w:p>
        </w:tc>
        <w:tc>
          <w:tcPr>
            <w:tcW w:w="1821" w:type="pct"/>
            <w:shd w:val="clear" w:color="auto" w:fill="auto"/>
            <w:vAlign w:val="center"/>
          </w:tcPr>
          <w:p w14:paraId="3474F2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容量：</w:t>
            </w:r>
            <w:r>
              <w:rPr>
                <w:rFonts w:hint="eastAsia" w:ascii="宋体" w:hAnsi="宋体" w:eastAsia="宋体" w:cs="宋体"/>
                <w:color w:val="000000"/>
                <w:kern w:val="0"/>
                <w:sz w:val="24"/>
                <w:szCs w:val="24"/>
              </w:rPr>
              <w:t>≥14TB</w:t>
            </w:r>
          </w:p>
          <w:p w14:paraId="6DD769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‌接口类型：SATA/SAS</w:t>
            </w:r>
          </w:p>
          <w:p w14:paraId="49FAB1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转速：≥7200转/分</w:t>
            </w:r>
          </w:p>
          <w:p w14:paraId="738AAA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val="en-US" w:eastAsia="zh-CN"/>
              </w:rPr>
              <w:t>‌缓存：</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256MB</w:t>
            </w:r>
          </w:p>
        </w:tc>
        <w:tc>
          <w:tcPr>
            <w:tcW w:w="482" w:type="pct"/>
            <w:shd w:val="clear" w:color="auto" w:fill="auto"/>
            <w:vAlign w:val="center"/>
          </w:tcPr>
          <w:p w14:paraId="4E1C1C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393" w:type="pct"/>
            <w:shd w:val="clear" w:color="auto" w:fill="auto"/>
            <w:vAlign w:val="center"/>
          </w:tcPr>
          <w:p w14:paraId="17BEEF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块</w:t>
            </w:r>
          </w:p>
        </w:tc>
        <w:tc>
          <w:tcPr>
            <w:tcW w:w="500" w:type="pct"/>
            <w:shd w:val="clear" w:color="auto" w:fill="auto"/>
            <w:vAlign w:val="center"/>
          </w:tcPr>
          <w:p w14:paraId="7CCE82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c>
          <w:tcPr>
            <w:tcW w:w="551" w:type="pct"/>
            <w:shd w:val="clear" w:color="auto" w:fill="auto"/>
            <w:vAlign w:val="center"/>
          </w:tcPr>
          <w:p w14:paraId="3D257FE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3.528</w:t>
            </w:r>
          </w:p>
        </w:tc>
      </w:tr>
      <w:tr w14:paraId="5AC30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0583C0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10</w:t>
            </w:r>
          </w:p>
        </w:tc>
        <w:tc>
          <w:tcPr>
            <w:tcW w:w="883" w:type="pct"/>
            <w:shd w:val="clear" w:color="auto" w:fill="auto"/>
            <w:vAlign w:val="center"/>
          </w:tcPr>
          <w:p w14:paraId="69FD5D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42U标准机柜</w:t>
            </w:r>
          </w:p>
        </w:tc>
        <w:tc>
          <w:tcPr>
            <w:tcW w:w="1821" w:type="pct"/>
            <w:shd w:val="clear" w:color="auto" w:fill="auto"/>
            <w:vAlign w:val="center"/>
          </w:tcPr>
          <w:p w14:paraId="050B3C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布线机柜,42U,2柱,玻璃门,标准</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符合GB/T 19520.2-2007,IEC 297-2,兼容 ETSI 标准</w:t>
            </w:r>
          </w:p>
        </w:tc>
        <w:tc>
          <w:tcPr>
            <w:tcW w:w="482" w:type="pct"/>
            <w:shd w:val="clear" w:color="auto" w:fill="auto"/>
            <w:vAlign w:val="center"/>
          </w:tcPr>
          <w:p w14:paraId="7A3245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7C4F0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611DEB2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51" w:type="pct"/>
            <w:shd w:val="clear" w:color="auto" w:fill="auto"/>
            <w:vAlign w:val="center"/>
          </w:tcPr>
          <w:p w14:paraId="0E813D9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r>
      <w:tr w14:paraId="549F8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67" w:type="pct"/>
            <w:shd w:val="clear" w:color="auto" w:fill="auto"/>
            <w:vAlign w:val="center"/>
          </w:tcPr>
          <w:p w14:paraId="4441AB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11</w:t>
            </w:r>
          </w:p>
        </w:tc>
        <w:tc>
          <w:tcPr>
            <w:tcW w:w="883" w:type="pct"/>
            <w:shd w:val="clear" w:color="auto" w:fill="auto"/>
            <w:vAlign w:val="center"/>
          </w:tcPr>
          <w:p w14:paraId="2B602B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操作台</w:t>
            </w:r>
          </w:p>
        </w:tc>
        <w:tc>
          <w:tcPr>
            <w:tcW w:w="1821" w:type="pct"/>
            <w:shd w:val="clear" w:color="auto" w:fill="auto"/>
            <w:vAlign w:val="center"/>
          </w:tcPr>
          <w:p w14:paraId="4A3FCB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lang w:bidi="ar"/>
              </w:rPr>
              <w:t>桌面304不锈钢</w:t>
            </w:r>
            <w:r>
              <w:rPr>
                <w:rFonts w:hint="eastAsia" w:ascii="宋体" w:hAnsi="宋体" w:eastAsia="宋体" w:cs="宋体"/>
                <w:color w:val="000000"/>
                <w:kern w:val="0"/>
                <w:sz w:val="24"/>
                <w:szCs w:val="24"/>
                <w:lang w:eastAsia="zh-CN" w:bidi="ar"/>
              </w:rPr>
              <w:t>，</w:t>
            </w:r>
            <w:r>
              <w:rPr>
                <w:rFonts w:hint="eastAsia" w:ascii="宋体" w:hAnsi="宋体" w:eastAsia="宋体" w:cs="宋体"/>
                <w:color w:val="000000"/>
                <w:kern w:val="0"/>
                <w:sz w:val="24"/>
                <w:szCs w:val="24"/>
                <w:lang w:bidi="ar"/>
              </w:rPr>
              <w:t>L≥</w:t>
            </w:r>
            <w:r>
              <w:rPr>
                <w:rFonts w:hint="eastAsia" w:ascii="宋体" w:hAnsi="宋体" w:eastAsia="宋体" w:cs="宋体"/>
                <w:color w:val="000000"/>
                <w:kern w:val="0"/>
                <w:sz w:val="24"/>
                <w:szCs w:val="24"/>
                <w:lang w:val="en-US" w:eastAsia="zh-CN" w:bidi="ar"/>
              </w:rPr>
              <w:t>1.5</w:t>
            </w:r>
            <w:r>
              <w:rPr>
                <w:rFonts w:hint="eastAsia" w:ascii="宋体" w:hAnsi="宋体" w:eastAsia="宋体" w:cs="宋体"/>
                <w:color w:val="000000"/>
                <w:kern w:val="0"/>
                <w:sz w:val="24"/>
                <w:szCs w:val="24"/>
                <w:lang w:bidi="ar"/>
              </w:rPr>
              <w:t>m,B≥</w:t>
            </w:r>
            <w:r>
              <w:rPr>
                <w:rFonts w:hint="eastAsia" w:ascii="宋体" w:hAnsi="宋体" w:eastAsia="宋体" w:cs="宋体"/>
                <w:color w:val="000000"/>
                <w:kern w:val="0"/>
                <w:sz w:val="24"/>
                <w:szCs w:val="24"/>
                <w:lang w:val="en-US" w:eastAsia="zh-CN" w:bidi="ar"/>
              </w:rPr>
              <w:t>0.6</w:t>
            </w:r>
            <w:r>
              <w:rPr>
                <w:rFonts w:hint="eastAsia" w:ascii="宋体" w:hAnsi="宋体" w:eastAsia="宋体" w:cs="宋体"/>
                <w:color w:val="000000"/>
                <w:kern w:val="0"/>
                <w:sz w:val="24"/>
                <w:szCs w:val="24"/>
                <w:lang w:bidi="ar"/>
              </w:rPr>
              <w:t>m,H≥</w:t>
            </w:r>
            <w:r>
              <w:rPr>
                <w:rFonts w:hint="eastAsia" w:ascii="宋体" w:hAnsi="宋体" w:eastAsia="宋体" w:cs="宋体"/>
                <w:color w:val="000000"/>
                <w:kern w:val="0"/>
                <w:sz w:val="24"/>
                <w:szCs w:val="24"/>
                <w:lang w:val="en-US" w:eastAsia="zh-CN" w:bidi="ar"/>
              </w:rPr>
              <w:t>0.9</w:t>
            </w:r>
            <w:r>
              <w:rPr>
                <w:rFonts w:hint="eastAsia" w:ascii="宋体" w:hAnsi="宋体" w:eastAsia="宋体" w:cs="宋体"/>
                <w:color w:val="000000"/>
                <w:kern w:val="0"/>
                <w:sz w:val="24"/>
                <w:szCs w:val="24"/>
                <w:lang w:bidi="ar"/>
              </w:rPr>
              <w:t>m</w:t>
            </w:r>
          </w:p>
        </w:tc>
        <w:tc>
          <w:tcPr>
            <w:tcW w:w="482" w:type="pct"/>
            <w:shd w:val="clear" w:color="auto" w:fill="auto"/>
            <w:vAlign w:val="center"/>
          </w:tcPr>
          <w:p w14:paraId="32E4C3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63E1F6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0" w:type="pct"/>
            <w:shd w:val="clear" w:color="auto" w:fill="auto"/>
            <w:vAlign w:val="center"/>
          </w:tcPr>
          <w:p w14:paraId="2216EBEA">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51" w:type="pct"/>
            <w:shd w:val="clear" w:color="auto" w:fill="auto"/>
            <w:vAlign w:val="center"/>
          </w:tcPr>
          <w:p w14:paraId="757B40C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r>
      <w:tr w14:paraId="19FA1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662C3D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12</w:t>
            </w:r>
          </w:p>
        </w:tc>
        <w:tc>
          <w:tcPr>
            <w:tcW w:w="883" w:type="pct"/>
            <w:shd w:val="clear" w:color="auto" w:fill="auto"/>
            <w:vAlign w:val="center"/>
          </w:tcPr>
          <w:p w14:paraId="26261A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监控主机</w:t>
            </w:r>
          </w:p>
        </w:tc>
        <w:tc>
          <w:tcPr>
            <w:tcW w:w="1821" w:type="pct"/>
            <w:shd w:val="clear" w:color="auto" w:fill="auto"/>
            <w:vAlign w:val="center"/>
          </w:tcPr>
          <w:p w14:paraId="758DCA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2U双路标准机架式服务器</w:t>
            </w:r>
          </w:p>
          <w:p w14:paraId="471762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盘位：</w:t>
            </w:r>
            <w:r>
              <w:rPr>
                <w:rFonts w:hint="eastAsia" w:ascii="宋体" w:hAnsi="宋体" w:eastAsia="宋体" w:cs="宋体"/>
                <w:color w:val="000000"/>
                <w:kern w:val="0"/>
                <w:sz w:val="24"/>
                <w:szCs w:val="24"/>
              </w:rPr>
              <w:t>≥</w:t>
            </w:r>
            <w:r>
              <w:rPr>
                <w:rFonts w:hint="eastAsia" w:ascii="宋体" w:hAnsi="宋体" w:eastAsia="宋体" w:cs="宋体"/>
                <w:color w:val="000000"/>
                <w:kern w:val="0"/>
                <w:sz w:val="24"/>
                <w:szCs w:val="24"/>
                <w:lang w:val="en-US" w:eastAsia="zh-CN"/>
              </w:rPr>
              <w:t>24个，用于安装监控专用硬盘</w:t>
            </w:r>
          </w:p>
          <w:p w14:paraId="430370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服务器专用</w:t>
            </w:r>
            <w:r>
              <w:rPr>
                <w:rFonts w:hint="eastAsia" w:ascii="宋体" w:hAnsi="宋体" w:eastAsia="宋体" w:cs="宋体"/>
                <w:color w:val="000000"/>
                <w:kern w:val="0"/>
                <w:sz w:val="24"/>
                <w:szCs w:val="24"/>
              </w:rPr>
              <w:t>CPU：配置≥1颗处理器，核数≥1</w:t>
            </w:r>
            <w:r>
              <w:rPr>
                <w:rFonts w:hint="eastAsia" w:ascii="宋体" w:hAnsi="宋体" w:eastAsia="宋体" w:cs="宋体"/>
                <w:color w:val="000000"/>
                <w:kern w:val="0"/>
                <w:sz w:val="24"/>
                <w:szCs w:val="24"/>
                <w:lang w:val="en-US" w:eastAsia="zh-CN"/>
              </w:rPr>
              <w:t>0</w:t>
            </w:r>
            <w:r>
              <w:rPr>
                <w:rFonts w:hint="eastAsia" w:ascii="宋体" w:hAnsi="宋体" w:eastAsia="宋体" w:cs="宋体"/>
                <w:color w:val="000000"/>
                <w:kern w:val="0"/>
                <w:sz w:val="24"/>
                <w:szCs w:val="24"/>
              </w:rPr>
              <w:t>核，频率≥2.5GHz</w:t>
            </w:r>
          </w:p>
          <w:p w14:paraId="0029A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内存：</w:t>
            </w:r>
            <w:r>
              <w:rPr>
                <w:rFonts w:hint="eastAsia" w:ascii="宋体" w:hAnsi="宋体" w:eastAsia="宋体" w:cs="宋体"/>
                <w:color w:val="000000"/>
                <w:kern w:val="0"/>
                <w:sz w:val="24"/>
                <w:szCs w:val="24"/>
                <w:lang w:val="en-US" w:eastAsia="zh-CN"/>
              </w:rPr>
              <w:t>容量</w:t>
            </w:r>
            <w:r>
              <w:rPr>
                <w:rFonts w:hint="eastAsia" w:ascii="宋体" w:hAnsi="宋体" w:eastAsia="宋体" w:cs="宋体"/>
                <w:color w:val="000000"/>
                <w:kern w:val="0"/>
                <w:sz w:val="24"/>
                <w:szCs w:val="24"/>
              </w:rPr>
              <w:t>≥64G</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lang w:val="en-US" w:eastAsia="zh-CN"/>
              </w:rPr>
              <w:t>代数</w:t>
            </w:r>
            <w:r>
              <w:rPr>
                <w:rFonts w:hint="eastAsia" w:ascii="宋体" w:hAnsi="宋体" w:eastAsia="宋体" w:cs="宋体"/>
                <w:color w:val="000000"/>
                <w:kern w:val="0"/>
                <w:sz w:val="24"/>
                <w:szCs w:val="24"/>
              </w:rPr>
              <w:t>≥DDR4</w:t>
            </w:r>
          </w:p>
          <w:p w14:paraId="556C1B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硬盘：≥1.2T</w:t>
            </w:r>
          </w:p>
          <w:p w14:paraId="63B8FC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阵列卡：配置≥1块RAID_4G卡，(支持RAID 0/1/10/5)</w:t>
            </w:r>
          </w:p>
          <w:p w14:paraId="70A0F4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PCIE扩展：支持≥5个PCIE插槽</w:t>
            </w:r>
          </w:p>
          <w:p w14:paraId="0B976E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网口：板载≥2个千兆电口，配置≥2个万兆光口，支持选配10GbE、25GbE SFP+等多种网络接口</w:t>
            </w:r>
          </w:p>
          <w:p w14:paraId="0BA519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其他接口：≥1个千兆RJ-45管理接口，≥4个USB 接口；≥1个VGA口</w:t>
            </w:r>
          </w:p>
        </w:tc>
        <w:tc>
          <w:tcPr>
            <w:tcW w:w="482" w:type="pct"/>
            <w:shd w:val="clear" w:color="auto" w:fill="auto"/>
            <w:vAlign w:val="center"/>
          </w:tcPr>
          <w:p w14:paraId="4BF731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0322C7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500" w:type="pct"/>
            <w:shd w:val="clear" w:color="auto" w:fill="auto"/>
            <w:vAlign w:val="center"/>
          </w:tcPr>
          <w:p w14:paraId="2AB217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1.666</w:t>
            </w:r>
          </w:p>
        </w:tc>
        <w:tc>
          <w:tcPr>
            <w:tcW w:w="551" w:type="pct"/>
            <w:shd w:val="clear" w:color="auto" w:fill="auto"/>
            <w:vAlign w:val="center"/>
          </w:tcPr>
          <w:p w14:paraId="155528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1.666</w:t>
            </w:r>
          </w:p>
        </w:tc>
      </w:tr>
      <w:tr w14:paraId="605E3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147874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13</w:t>
            </w:r>
          </w:p>
        </w:tc>
        <w:tc>
          <w:tcPr>
            <w:tcW w:w="883" w:type="pct"/>
            <w:shd w:val="clear" w:color="auto" w:fill="auto"/>
            <w:vAlign w:val="center"/>
          </w:tcPr>
          <w:p w14:paraId="3DEDD5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综合安防管理平台</w:t>
            </w:r>
          </w:p>
        </w:tc>
        <w:tc>
          <w:tcPr>
            <w:tcW w:w="1821" w:type="pct"/>
            <w:shd w:val="clear" w:color="auto" w:fill="auto"/>
            <w:vAlign w:val="center"/>
          </w:tcPr>
          <w:p w14:paraId="4F7BA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 支持多网域访问，支持 AD 域，支持校时功能，支持数据库的备份和恢复</w:t>
            </w:r>
          </w:p>
          <w:p w14:paraId="49DDB5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 支持部署组件（服务）到服务器集群，并进行集群管理，支持双机热备</w:t>
            </w:r>
          </w:p>
          <w:p w14:paraId="06A117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 运行管理中心提供统一的认证、授权管理机制，支持HTTPS以及密码安全加密访问认证；</w:t>
            </w:r>
          </w:p>
          <w:p w14:paraId="10CD62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 支持验证码、连续登陆尝试次数、用户IP地址限制等多种验证方式，支持登录密码强度提醒，用户密码强度设置；</w:t>
            </w:r>
          </w:p>
          <w:p w14:paraId="54CAB8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 支持根据用户使用习惯自定义配置快捷功能入口，支持首页投放大屏展示，支持最近7天每日的用户活跃数统计；</w:t>
            </w:r>
          </w:p>
          <w:p w14:paraId="6E1158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 支持以中心管理服务为核心的网络拓扑结构，支持对系统中的分组、服务器、组件等统计概览、查看；</w:t>
            </w:r>
          </w:p>
          <w:p w14:paraId="3B0599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 支持多色彩（红、橙、黄）展示运行告警状态，支持告警统计、概览、处理，支持告警记录查看、查询，支持告警单条、批量处理；支持系统最近7天每日告警数统计，支持评分量化系统监控指数，显示系统运行状态；</w:t>
            </w:r>
            <w:r>
              <w:rPr>
                <w:rFonts w:hint="eastAsia" w:ascii="宋体" w:hAnsi="宋体" w:eastAsia="宋体" w:cs="宋体"/>
                <w:b/>
                <w:bCs/>
                <w:sz w:val="24"/>
                <w:szCs w:val="24"/>
                <w:lang w:val="en-US" w:eastAsia="zh-CN"/>
              </w:rPr>
              <w:t>（评标项24）</w:t>
            </w:r>
          </w:p>
          <w:p w14:paraId="77BE5D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 支持导航视图管理，对系统内各节点进行查看、增加、删除、修改，展示、查找；支持对系统内所有服务器进行监控，包括名称、IP地址、状态、未处理告警数、CPU使用率、内存使用率、磁盘容量、主机代理版等；支持对系统内所有组件信息进行监控，组件信息包含：组件名称、未处理告警数、所属服务器、最近操作时间、授权状态、维保期限、使用期限等；</w:t>
            </w:r>
            <w:r>
              <w:rPr>
                <w:rFonts w:hint="eastAsia" w:ascii="宋体" w:hAnsi="宋体" w:eastAsia="宋体" w:cs="宋体"/>
                <w:b/>
                <w:bCs/>
                <w:sz w:val="24"/>
                <w:szCs w:val="24"/>
                <w:lang w:val="en-US" w:eastAsia="zh-CN"/>
              </w:rPr>
              <w:t>（评标项25）</w:t>
            </w:r>
          </w:p>
          <w:p w14:paraId="6AA2CA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 支持对设备的数据进行智能研判，可通过客户端查看判定为故障的设备信息；</w:t>
            </w:r>
            <w:r>
              <w:rPr>
                <w:rFonts w:hint="eastAsia" w:ascii="宋体" w:hAnsi="宋体" w:eastAsia="宋体" w:cs="宋体"/>
                <w:b/>
                <w:bCs/>
                <w:sz w:val="24"/>
                <w:szCs w:val="24"/>
                <w:lang w:val="en-US" w:eastAsia="zh-CN"/>
              </w:rPr>
              <w:t>（评标项26）</w:t>
            </w:r>
          </w:p>
          <w:p w14:paraId="32944B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 支持以单位信息完整度、建筑物管理、日常维护管理、物联网感知、历史火灾信息五种维度对单位进行消防安全评分计算，支持用户自定义配置维度占比，支持以雷达图形显示各维度的占比，安全评分支持安全码的形式展示。</w:t>
            </w:r>
          </w:p>
          <w:p w14:paraId="277096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11. 支持查看消防设备与传感器的运行状态；</w:t>
            </w:r>
          </w:p>
          <w:p w14:paraId="07771B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12. 支持在三维地图上展示事件，包括车辆事件、视频事件、门禁事件，支持展示今日安防实况，展示所有告警记录总数和已处理未处理占比，支持对关注的事件进行按月统计，展示近7天和近30天的关注的事件的趋势统计，支持展示设备的健康状态（离线数，在线数）、设备总数、设备告警记录</w:t>
            </w:r>
          </w:p>
          <w:p w14:paraId="430025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13. 支持开启自动发现，可通过交换机设备IP、协议信息发现获取网络中的资源，支持重新发现</w:t>
            </w:r>
          </w:p>
          <w:p w14:paraId="250840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14. 支持扫一扫识别车牌，可搜索关联的车主的联系电话，并可一键打电话</w:t>
            </w:r>
          </w:p>
          <w:p w14:paraId="75385C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15. 支持根据姓名或手机号码搜索人员，查看人员的姓名、部门、电话号码。支持根据车牌号码搜索车主</w:t>
            </w:r>
            <w:r>
              <w:rPr>
                <w:rFonts w:hint="eastAsia" w:ascii="宋体" w:hAnsi="宋体" w:eastAsia="宋体" w:cs="宋体"/>
                <w:color w:val="000000"/>
                <w:kern w:val="0"/>
                <w:sz w:val="24"/>
                <w:szCs w:val="24"/>
                <w:lang w:eastAsia="zh-CN"/>
              </w:rPr>
              <w:t>；</w:t>
            </w:r>
          </w:p>
          <w:p w14:paraId="1F8BD0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16. 具有日常故障报修功能，普通用户可在线填写报修申请，管理人员可进行故障报修审批同意或拒绝操作。</w:t>
            </w:r>
          </w:p>
          <w:p w14:paraId="3DFC1B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17. 基础安检模块通过接入安检机、安检门、炸探、液探等多种安检设备，将实时探测数据、异常预警数据接入平台进行联网应用，满足用户安检流程线上闭环、安检设备线上运维、安检人员线上监管等业务需求。</w:t>
            </w:r>
          </w:p>
          <w:p w14:paraId="6497CD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18. 图上安检</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提供安检资源上图应用，可基于静态地图或GIS地图展示安检设备的空间分布，支持统计指定安检区域的设备在离线状态、检测人包数量、异常预警数量，支持实时接收安检告警并查看详情、处置闭环，满足中心端用户远程查看安检区实况信息以及查询历史数据的需求。</w:t>
            </w:r>
          </w:p>
          <w:p w14:paraId="5B765A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19. 事件管控</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提供独立的安检告警中心，用于接收安检异常探测事件，可针对不同的违禁品类型设置不同的告警等级，支持查看详情及处置闭环。支持查询历史异常事件，包括包裹异常预警、安检员行为分析、安检门金属侦测、分类检测安检门告警、爆炸物及毒品探测仪告警、液体探测仪告警、人体温度异常等。</w:t>
            </w:r>
          </w:p>
          <w:p w14:paraId="417E34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20. 统计分析</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支持统计指定时间段内的安检检测数据，反馈阶段性的安检概况，支持按区域维度、以日周月年为周期，针对过检包裹及各类违禁品数目、过检客流人数及金属告警、温度异常告警等信息的统计分析，支持表格、柱状图、折线图方式进行展示，可通过表格或者统计图两种方式进行数据导出。</w:t>
            </w:r>
          </w:p>
          <w:p w14:paraId="6DCE4C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21. 设备运维及安检员管理</w:t>
            </w:r>
            <w:r>
              <w:rPr>
                <w:rFonts w:hint="eastAsia" w:ascii="宋体" w:hAnsi="宋体" w:eastAsia="宋体" w:cs="宋体"/>
                <w:color w:val="000000"/>
                <w:kern w:val="0"/>
                <w:sz w:val="24"/>
                <w:szCs w:val="24"/>
                <w:lang w:eastAsia="zh-CN"/>
              </w:rPr>
              <w:t>：</w:t>
            </w:r>
            <w:r>
              <w:rPr>
                <w:rFonts w:hint="eastAsia" w:ascii="宋体" w:hAnsi="宋体" w:eastAsia="宋体" w:cs="宋体"/>
                <w:color w:val="000000"/>
                <w:kern w:val="0"/>
                <w:sz w:val="24"/>
                <w:szCs w:val="24"/>
              </w:rPr>
              <w:t>支持线上管理安检资产和备品备件，支持维保超期预警、安检机核心部件故障预警、元器件寿命预警，支持配置巡检任务对安检系统进行手动/自动巡检，巡检对象包括设备运行状态和安检员行为分析，支持设备远程升级。支持安检员排班管理及工作情况统计。</w:t>
            </w:r>
          </w:p>
          <w:p w14:paraId="01EF1C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22. 任务工作台：展示所有任务列表，并可以查看各任务详情，支持添加临时任务，支持以地图模式查看巡检任务。在巡检任务管理模块，可以进行线上巡检操作。</w:t>
            </w:r>
          </w:p>
          <w:p w14:paraId="6BDB10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23. 可提供区域用能报表、部门用能报表，可支持用能定额管理</w:t>
            </w:r>
            <w:r>
              <w:rPr>
                <w:rFonts w:hint="eastAsia" w:ascii="宋体" w:hAnsi="宋体" w:eastAsia="宋体" w:cs="宋体"/>
                <w:color w:val="000000"/>
                <w:kern w:val="0"/>
                <w:sz w:val="24"/>
                <w:szCs w:val="24"/>
                <w:lang w:eastAsia="zh-CN"/>
              </w:rPr>
              <w:t>；</w:t>
            </w:r>
          </w:p>
          <w:p w14:paraId="0BB252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24. 支持在web端或者移动端对园区内照明设备进行远程控制、情景控制、计划控制</w:t>
            </w:r>
            <w:r>
              <w:rPr>
                <w:rFonts w:hint="eastAsia" w:ascii="宋体" w:hAnsi="宋体" w:eastAsia="宋体" w:cs="宋体"/>
                <w:color w:val="000000"/>
                <w:kern w:val="0"/>
                <w:sz w:val="24"/>
                <w:szCs w:val="24"/>
                <w:lang w:eastAsia="zh-CN"/>
              </w:rPr>
              <w:t>；</w:t>
            </w:r>
          </w:p>
          <w:p w14:paraId="19286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25. 支持录入应急物资、救援队伍、应急预案，可设置应急演练功能</w:t>
            </w:r>
            <w:r>
              <w:rPr>
                <w:rFonts w:hint="eastAsia" w:ascii="宋体" w:hAnsi="宋体" w:eastAsia="宋体" w:cs="宋体"/>
                <w:color w:val="000000"/>
                <w:kern w:val="0"/>
                <w:sz w:val="24"/>
                <w:szCs w:val="24"/>
                <w:lang w:eastAsia="zh-CN"/>
              </w:rPr>
              <w:t>；</w:t>
            </w:r>
          </w:p>
          <w:p w14:paraId="75C5A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含视频监控+安检+联网</w:t>
            </w:r>
            <w:r>
              <w:rPr>
                <w:rFonts w:hint="eastAsia" w:ascii="宋体" w:hAnsi="宋体" w:eastAsia="宋体" w:cs="宋体"/>
                <w:color w:val="000000"/>
                <w:kern w:val="0"/>
                <w:sz w:val="24"/>
                <w:szCs w:val="24"/>
                <w:lang w:eastAsia="zh-CN"/>
              </w:rPr>
              <w:t>。</w:t>
            </w:r>
          </w:p>
        </w:tc>
        <w:tc>
          <w:tcPr>
            <w:tcW w:w="482" w:type="pct"/>
            <w:shd w:val="clear" w:color="auto" w:fill="auto"/>
            <w:vAlign w:val="center"/>
          </w:tcPr>
          <w:p w14:paraId="0F400E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5038F8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500" w:type="pct"/>
            <w:shd w:val="clear" w:color="auto" w:fill="auto"/>
            <w:vAlign w:val="center"/>
          </w:tcPr>
          <w:p w14:paraId="54BDB5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9.8</w:t>
            </w:r>
          </w:p>
        </w:tc>
        <w:tc>
          <w:tcPr>
            <w:tcW w:w="551" w:type="pct"/>
            <w:shd w:val="clear" w:color="auto" w:fill="auto"/>
            <w:vAlign w:val="center"/>
          </w:tcPr>
          <w:p w14:paraId="0CC718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9.8</w:t>
            </w:r>
          </w:p>
        </w:tc>
      </w:tr>
      <w:tr w14:paraId="632A2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67" w:type="pct"/>
            <w:shd w:val="clear" w:color="auto" w:fill="auto"/>
            <w:vAlign w:val="center"/>
          </w:tcPr>
          <w:p w14:paraId="5DE139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14</w:t>
            </w:r>
          </w:p>
        </w:tc>
        <w:tc>
          <w:tcPr>
            <w:tcW w:w="883" w:type="pct"/>
            <w:shd w:val="clear" w:color="auto" w:fill="auto"/>
            <w:vAlign w:val="center"/>
          </w:tcPr>
          <w:p w14:paraId="38CB8F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辅材/配件</w:t>
            </w:r>
          </w:p>
        </w:tc>
        <w:tc>
          <w:tcPr>
            <w:tcW w:w="1821" w:type="pct"/>
            <w:shd w:val="clear" w:color="auto" w:fill="auto"/>
            <w:vAlign w:val="center"/>
          </w:tcPr>
          <w:p w14:paraId="1A2E76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网线，光纤，电源线，线管，光纤熔接、跳线等</w:t>
            </w:r>
          </w:p>
        </w:tc>
        <w:tc>
          <w:tcPr>
            <w:tcW w:w="482" w:type="pct"/>
            <w:shd w:val="clear" w:color="auto" w:fill="auto"/>
            <w:vAlign w:val="center"/>
          </w:tcPr>
          <w:p w14:paraId="257907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393" w:type="pct"/>
            <w:shd w:val="clear" w:color="auto" w:fill="auto"/>
            <w:vAlign w:val="center"/>
          </w:tcPr>
          <w:p w14:paraId="41DBD4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项</w:t>
            </w:r>
          </w:p>
        </w:tc>
        <w:tc>
          <w:tcPr>
            <w:tcW w:w="500" w:type="pct"/>
            <w:shd w:val="clear" w:color="auto" w:fill="auto"/>
            <w:vAlign w:val="center"/>
          </w:tcPr>
          <w:p w14:paraId="0AC8E621">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2.156</w:t>
            </w:r>
          </w:p>
        </w:tc>
        <w:tc>
          <w:tcPr>
            <w:tcW w:w="551" w:type="pct"/>
            <w:shd w:val="clear" w:color="auto" w:fill="auto"/>
            <w:vAlign w:val="center"/>
          </w:tcPr>
          <w:p w14:paraId="34BACC5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2.156</w:t>
            </w:r>
          </w:p>
        </w:tc>
      </w:tr>
      <w:tr w14:paraId="7B22C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448" w:type="pct"/>
            <w:gridSpan w:val="6"/>
            <w:shd w:val="clear" w:color="auto" w:fill="auto"/>
            <w:vAlign w:val="center"/>
          </w:tcPr>
          <w:p w14:paraId="5F7B79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小计（万元）</w:t>
            </w:r>
          </w:p>
        </w:tc>
        <w:tc>
          <w:tcPr>
            <w:tcW w:w="551" w:type="pct"/>
            <w:shd w:val="clear" w:color="auto" w:fill="auto"/>
            <w:vAlign w:val="center"/>
          </w:tcPr>
          <w:p w14:paraId="1F52B49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33.712</w:t>
            </w:r>
          </w:p>
        </w:tc>
      </w:tr>
    </w:tbl>
    <w:p w14:paraId="3488DE0F">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4.10卡口管理系统</w:t>
      </w:r>
    </w:p>
    <w:tbl>
      <w:tblPr>
        <w:tblStyle w:val="17"/>
        <w:tblW w:w="49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6"/>
        <w:gridCol w:w="1740"/>
        <w:gridCol w:w="3624"/>
        <w:gridCol w:w="928"/>
        <w:gridCol w:w="781"/>
        <w:gridCol w:w="952"/>
        <w:gridCol w:w="1110"/>
      </w:tblGrid>
      <w:tr w14:paraId="54468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54" w:type="pct"/>
            <w:shd w:val="clear" w:color="auto" w:fill="FFFFFF" w:themeFill="background1"/>
            <w:vAlign w:val="center"/>
          </w:tcPr>
          <w:p w14:paraId="7F3D3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885" w:type="pct"/>
            <w:shd w:val="clear" w:color="auto" w:fill="FFFFFF" w:themeFill="background1"/>
            <w:vAlign w:val="center"/>
          </w:tcPr>
          <w:p w14:paraId="35A140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1843" w:type="pct"/>
            <w:shd w:val="clear" w:color="auto" w:fill="FFFFFF" w:themeFill="background1"/>
            <w:vAlign w:val="center"/>
          </w:tcPr>
          <w:p w14:paraId="3885EA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color w:val="000000"/>
                <w:kern w:val="0"/>
                <w:sz w:val="24"/>
                <w:szCs w:val="24"/>
              </w:rPr>
              <w:t>技术规格及参数</w:t>
            </w:r>
          </w:p>
        </w:tc>
        <w:tc>
          <w:tcPr>
            <w:tcW w:w="472" w:type="pct"/>
            <w:shd w:val="clear" w:color="auto" w:fill="FFFFFF" w:themeFill="background1"/>
            <w:vAlign w:val="center"/>
          </w:tcPr>
          <w:p w14:paraId="213D6C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数量</w:t>
            </w:r>
          </w:p>
        </w:tc>
        <w:tc>
          <w:tcPr>
            <w:tcW w:w="397" w:type="pct"/>
            <w:shd w:val="clear" w:color="auto" w:fill="FFFFFF" w:themeFill="background1"/>
            <w:vAlign w:val="center"/>
          </w:tcPr>
          <w:p w14:paraId="692143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481" w:type="pct"/>
            <w:shd w:val="clear" w:color="auto" w:fill="FFFFFF" w:themeFill="background1"/>
            <w:vAlign w:val="center"/>
          </w:tcPr>
          <w:p w14:paraId="2EC58B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单价</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c>
          <w:tcPr>
            <w:tcW w:w="564" w:type="pct"/>
            <w:shd w:val="clear" w:color="auto" w:fill="FFFFFF" w:themeFill="background1"/>
            <w:vAlign w:val="center"/>
          </w:tcPr>
          <w:p w14:paraId="4DE586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金额</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r>
      <w:tr w14:paraId="4EB7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3658EE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85" w:type="pct"/>
            <w:shd w:val="clear" w:color="auto" w:fill="auto"/>
            <w:vAlign w:val="center"/>
          </w:tcPr>
          <w:p w14:paraId="4C2743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箱号识别</w:t>
            </w:r>
          </w:p>
        </w:tc>
        <w:tc>
          <w:tcPr>
            <w:tcW w:w="1843" w:type="pct"/>
            <w:shd w:val="clear" w:color="auto" w:fill="auto"/>
            <w:vAlign w:val="center"/>
          </w:tcPr>
          <w:p w14:paraId="193278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2" w:type="pct"/>
            <w:shd w:val="clear" w:color="auto" w:fill="auto"/>
            <w:vAlign w:val="center"/>
          </w:tcPr>
          <w:p w14:paraId="7E9CB0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397" w:type="pct"/>
            <w:shd w:val="clear" w:color="auto" w:fill="auto"/>
            <w:vAlign w:val="center"/>
          </w:tcPr>
          <w:p w14:paraId="03ECDC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81" w:type="pct"/>
            <w:shd w:val="clear" w:color="auto" w:fill="auto"/>
            <w:vAlign w:val="center"/>
          </w:tcPr>
          <w:p w14:paraId="2EE5AF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564" w:type="pct"/>
            <w:shd w:val="clear" w:color="auto" w:fill="auto"/>
            <w:vAlign w:val="center"/>
          </w:tcPr>
          <w:p w14:paraId="1EE04E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r>
      <w:tr w14:paraId="296C2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062F2D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1.1</w:t>
            </w:r>
          </w:p>
        </w:tc>
        <w:tc>
          <w:tcPr>
            <w:tcW w:w="885" w:type="pct"/>
            <w:shd w:val="clear" w:color="auto" w:fill="auto"/>
            <w:vAlign w:val="center"/>
          </w:tcPr>
          <w:p w14:paraId="6243BD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箱号智能识别单元</w:t>
            </w:r>
          </w:p>
        </w:tc>
        <w:tc>
          <w:tcPr>
            <w:tcW w:w="1843" w:type="pct"/>
            <w:shd w:val="clear" w:color="auto" w:fill="auto"/>
            <w:vAlign w:val="center"/>
          </w:tcPr>
          <w:p w14:paraId="7D72FC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采用1/1.8” ≥400万像素CMOS。</w:t>
            </w:r>
          </w:p>
          <w:p w14:paraId="6EB202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最大可输出Full HD 2688 × 1520@25fps实时图像。</w:t>
            </w:r>
          </w:p>
          <w:p w14:paraId="34F1F4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支持输出H.265或H.264码流可配置，同时支持MJPEG编码，抓拍图片采用JPEG编码及Smart JPEG压缩，图片质量可设。</w:t>
            </w:r>
          </w:p>
          <w:p w14:paraId="4AFF59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支持港口集装箱号检测、抓拍和识别。</w:t>
            </w:r>
          </w:p>
          <w:p w14:paraId="66AE89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具有防尘、防水、防浪涌等功能。</w:t>
            </w:r>
          </w:p>
        </w:tc>
        <w:tc>
          <w:tcPr>
            <w:tcW w:w="472" w:type="pct"/>
            <w:shd w:val="clear" w:color="auto" w:fill="auto"/>
            <w:vAlign w:val="center"/>
          </w:tcPr>
          <w:p w14:paraId="1C608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397" w:type="pct"/>
            <w:shd w:val="clear" w:color="auto" w:fill="auto"/>
            <w:vAlign w:val="center"/>
          </w:tcPr>
          <w:p w14:paraId="79A552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554D29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0.245</w:t>
            </w:r>
          </w:p>
        </w:tc>
        <w:tc>
          <w:tcPr>
            <w:tcW w:w="564" w:type="pct"/>
            <w:shd w:val="clear" w:color="auto" w:fill="auto"/>
            <w:vAlign w:val="center"/>
          </w:tcPr>
          <w:p w14:paraId="3E4DAB4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1868A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1018B2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1.2</w:t>
            </w:r>
          </w:p>
        </w:tc>
        <w:tc>
          <w:tcPr>
            <w:tcW w:w="885" w:type="pct"/>
            <w:shd w:val="clear" w:color="auto" w:fill="auto"/>
            <w:vAlign w:val="center"/>
          </w:tcPr>
          <w:p w14:paraId="04C1CD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集装箱面补光灯</w:t>
            </w:r>
          </w:p>
        </w:tc>
        <w:tc>
          <w:tcPr>
            <w:tcW w:w="1843" w:type="pct"/>
            <w:shd w:val="clear" w:color="auto" w:fill="auto"/>
            <w:vAlign w:val="center"/>
          </w:tcPr>
          <w:p w14:paraId="0F2184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rPr>
              <w:t>补光灯：LED常亮灯，暖光。</w:t>
            </w:r>
          </w:p>
          <w:p w14:paraId="24FEFE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光源类型：大功率LED，三车道补光</w:t>
            </w:r>
          </w:p>
          <w:p w14:paraId="04F4CF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LED灯珠数量：≥16颗</w:t>
            </w:r>
          </w:p>
          <w:p w14:paraId="03C7DE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最佳补光距离：16米-25米</w:t>
            </w:r>
          </w:p>
          <w:p w14:paraId="7318B4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触发方式：光敏控制</w:t>
            </w:r>
          </w:p>
          <w:p w14:paraId="199744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防护等级：≥IP66</w:t>
            </w:r>
          </w:p>
        </w:tc>
        <w:tc>
          <w:tcPr>
            <w:tcW w:w="472" w:type="pct"/>
            <w:shd w:val="clear" w:color="auto" w:fill="auto"/>
            <w:vAlign w:val="center"/>
          </w:tcPr>
          <w:p w14:paraId="02F706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397" w:type="pct"/>
            <w:shd w:val="clear" w:color="auto" w:fill="auto"/>
            <w:vAlign w:val="center"/>
          </w:tcPr>
          <w:p w14:paraId="02FF9F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7FBD907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0.245</w:t>
            </w:r>
          </w:p>
        </w:tc>
        <w:tc>
          <w:tcPr>
            <w:tcW w:w="564" w:type="pct"/>
            <w:shd w:val="clear" w:color="auto" w:fill="auto"/>
            <w:vAlign w:val="center"/>
          </w:tcPr>
          <w:p w14:paraId="0C750C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6074A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30B07E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1.3</w:t>
            </w:r>
          </w:p>
        </w:tc>
        <w:tc>
          <w:tcPr>
            <w:tcW w:w="885" w:type="pct"/>
            <w:shd w:val="clear" w:color="auto" w:fill="auto"/>
            <w:vAlign w:val="center"/>
          </w:tcPr>
          <w:p w14:paraId="127E38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集装箱号管理终端</w:t>
            </w:r>
          </w:p>
        </w:tc>
        <w:tc>
          <w:tcPr>
            <w:tcW w:w="1843" w:type="pct"/>
            <w:shd w:val="clear" w:color="auto" w:fill="auto"/>
            <w:vAlign w:val="center"/>
          </w:tcPr>
          <w:p w14:paraId="38921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闸口终端服务器</w:t>
            </w:r>
            <w:r>
              <w:rPr>
                <w:rFonts w:hint="eastAsia" w:ascii="宋体" w:hAnsi="宋体" w:eastAsia="宋体" w:cs="宋体"/>
                <w:sz w:val="24"/>
                <w:szCs w:val="24"/>
                <w:lang w:eastAsia="zh-CN"/>
              </w:rPr>
              <w:t>：</w:t>
            </w:r>
            <w:r>
              <w:rPr>
                <w:rFonts w:hint="eastAsia" w:ascii="宋体" w:hAnsi="宋体" w:eastAsia="宋体" w:cs="宋体"/>
                <w:sz w:val="24"/>
                <w:szCs w:val="24"/>
              </w:rPr>
              <w:t>主要应用于闸口收费站，可对接入的集装箱号抓拍机和卡口抓拍机做结构化数据处理和上报</w:t>
            </w:r>
            <w:r>
              <w:rPr>
                <w:rFonts w:hint="eastAsia" w:ascii="宋体" w:hAnsi="宋体" w:eastAsia="宋体" w:cs="宋体"/>
                <w:sz w:val="24"/>
                <w:szCs w:val="24"/>
                <w:lang w:eastAsia="zh-CN"/>
              </w:rPr>
              <w:t>。</w:t>
            </w:r>
          </w:p>
          <w:p w14:paraId="63C1BE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支持8路视频接入、集装箱数据记录存储、图片存储、视频存储、数据上传、视频流转发、前端设备管理等功能</w:t>
            </w:r>
            <w:r>
              <w:rPr>
                <w:rFonts w:hint="eastAsia" w:ascii="宋体" w:hAnsi="宋体" w:eastAsia="宋体" w:cs="宋体"/>
                <w:sz w:val="24"/>
                <w:szCs w:val="24"/>
                <w:lang w:eastAsia="zh-CN"/>
              </w:rPr>
              <w:t>。</w:t>
            </w:r>
          </w:p>
          <w:p w14:paraId="0EA6B1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可混合接入普通监控用摄像机、智慧监控摄像机、卡口电子警察抓拍机、网络球机等多种前端设备，作为室外型NVR使用</w:t>
            </w:r>
            <w:r>
              <w:rPr>
                <w:rFonts w:hint="eastAsia" w:ascii="宋体" w:hAnsi="宋体" w:eastAsia="宋体" w:cs="宋体"/>
                <w:sz w:val="24"/>
                <w:szCs w:val="24"/>
                <w:lang w:eastAsia="zh-CN"/>
              </w:rPr>
              <w:t>。</w:t>
            </w:r>
          </w:p>
          <w:p w14:paraId="0F1BB0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支持接入多个箱号识别抓拍机，接收集装箱相关信息，并进行图片合成、数据存储、查询与导出</w:t>
            </w:r>
            <w:r>
              <w:rPr>
                <w:rFonts w:hint="eastAsia" w:ascii="宋体" w:hAnsi="宋体" w:eastAsia="宋体" w:cs="宋体"/>
                <w:sz w:val="24"/>
                <w:szCs w:val="24"/>
                <w:lang w:eastAsia="zh-CN"/>
              </w:rPr>
              <w:t>。</w:t>
            </w:r>
          </w:p>
          <w:p w14:paraId="6D6DE2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可配置多种字符叠加、图片合成方式</w:t>
            </w:r>
            <w:r>
              <w:rPr>
                <w:rFonts w:hint="eastAsia" w:ascii="宋体" w:hAnsi="宋体" w:eastAsia="宋体" w:cs="宋体"/>
                <w:sz w:val="24"/>
                <w:szCs w:val="24"/>
                <w:lang w:eastAsia="zh-CN"/>
              </w:rPr>
              <w:t>。</w:t>
            </w:r>
          </w:p>
          <w:p w14:paraId="08005D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标配≥2TB硬盘存储，用于图片\录像接收存储</w:t>
            </w:r>
            <w:r>
              <w:rPr>
                <w:rFonts w:hint="eastAsia" w:ascii="宋体" w:hAnsi="宋体" w:eastAsia="宋体" w:cs="宋体"/>
                <w:sz w:val="24"/>
                <w:szCs w:val="24"/>
                <w:lang w:eastAsia="zh-CN"/>
              </w:rPr>
              <w:t>。</w:t>
            </w:r>
          </w:p>
        </w:tc>
        <w:tc>
          <w:tcPr>
            <w:tcW w:w="472" w:type="pct"/>
            <w:shd w:val="clear" w:color="auto" w:fill="auto"/>
            <w:vAlign w:val="center"/>
          </w:tcPr>
          <w:p w14:paraId="471FC0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456217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62ACB2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64" w:type="pct"/>
            <w:shd w:val="clear" w:color="auto" w:fill="auto"/>
            <w:vAlign w:val="center"/>
          </w:tcPr>
          <w:p w14:paraId="6A3501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5C8E8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573B41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885" w:type="pct"/>
            <w:shd w:val="clear" w:color="auto" w:fill="auto"/>
            <w:vAlign w:val="center"/>
          </w:tcPr>
          <w:p w14:paraId="2EC369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车牌识别</w:t>
            </w:r>
          </w:p>
        </w:tc>
        <w:tc>
          <w:tcPr>
            <w:tcW w:w="1843" w:type="pct"/>
            <w:shd w:val="clear" w:color="auto" w:fill="auto"/>
            <w:vAlign w:val="center"/>
          </w:tcPr>
          <w:p w14:paraId="2CD463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2" w:type="pct"/>
            <w:shd w:val="clear" w:color="auto" w:fill="auto"/>
            <w:vAlign w:val="center"/>
          </w:tcPr>
          <w:p w14:paraId="489B6F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397" w:type="pct"/>
            <w:shd w:val="clear" w:color="auto" w:fill="auto"/>
            <w:vAlign w:val="center"/>
          </w:tcPr>
          <w:p w14:paraId="25CC31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81" w:type="pct"/>
            <w:shd w:val="clear" w:color="auto" w:fill="auto"/>
            <w:vAlign w:val="center"/>
          </w:tcPr>
          <w:p w14:paraId="332FE725">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64" w:type="pct"/>
            <w:shd w:val="clear" w:color="auto" w:fill="auto"/>
            <w:vAlign w:val="center"/>
          </w:tcPr>
          <w:p w14:paraId="32CA287E">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50B1C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0EB627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2.1</w:t>
            </w:r>
          </w:p>
        </w:tc>
        <w:tc>
          <w:tcPr>
            <w:tcW w:w="885" w:type="pct"/>
            <w:shd w:val="clear" w:color="auto" w:fill="auto"/>
            <w:vAlign w:val="center"/>
          </w:tcPr>
          <w:p w14:paraId="3CCE4A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高清牌识抓拍单元</w:t>
            </w:r>
          </w:p>
        </w:tc>
        <w:tc>
          <w:tcPr>
            <w:tcW w:w="1843" w:type="pct"/>
            <w:shd w:val="clear" w:color="auto" w:fill="auto"/>
            <w:vAlign w:val="center"/>
          </w:tcPr>
          <w:p w14:paraId="7B4F95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内置500万像素全局曝光CMOS摄像机</w:t>
            </w:r>
            <w:r>
              <w:rPr>
                <w:rFonts w:hint="eastAsia" w:ascii="宋体" w:hAnsi="宋体" w:eastAsia="宋体" w:cs="宋体"/>
                <w:sz w:val="24"/>
                <w:szCs w:val="24"/>
                <w:lang w:eastAsia="zh-CN"/>
              </w:rPr>
              <w:t>。</w:t>
            </w:r>
          </w:p>
          <w:p w14:paraId="206B0C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2.</w:t>
            </w:r>
            <w:r>
              <w:rPr>
                <w:rFonts w:hint="eastAsia" w:ascii="宋体" w:hAnsi="宋体" w:eastAsia="宋体" w:cs="宋体"/>
                <w:sz w:val="24"/>
                <w:szCs w:val="24"/>
              </w:rPr>
              <w:t>支持双网隔离传输，解决收费站双网传输（收费网/监控网）与隔离需求。</w:t>
            </w:r>
          </w:p>
          <w:p w14:paraId="42401D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3.</w:t>
            </w:r>
            <w:r>
              <w:rPr>
                <w:rFonts w:hint="eastAsia" w:ascii="宋体" w:hAnsi="宋体" w:eastAsia="宋体" w:cs="宋体"/>
                <w:sz w:val="24"/>
                <w:szCs w:val="24"/>
              </w:rPr>
              <w:t>支持车牌提前识别。</w:t>
            </w:r>
          </w:p>
          <w:p w14:paraId="2C4628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4.</w:t>
            </w:r>
            <w:r>
              <w:rPr>
                <w:rFonts w:hint="eastAsia" w:ascii="宋体" w:hAnsi="宋体" w:eastAsia="宋体" w:cs="宋体"/>
                <w:sz w:val="24"/>
                <w:szCs w:val="24"/>
              </w:rPr>
              <w:t>支持闪光灯和LED频闪灯同步补光。</w:t>
            </w:r>
          </w:p>
          <w:p w14:paraId="5CBE0D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5.</w:t>
            </w:r>
            <w:r>
              <w:rPr>
                <w:rFonts w:hint="eastAsia" w:ascii="宋体" w:hAnsi="宋体" w:eastAsia="宋体" w:cs="宋体"/>
                <w:sz w:val="24"/>
                <w:szCs w:val="24"/>
              </w:rPr>
              <w:t>支持线圈，视频等触发模式。</w:t>
            </w:r>
          </w:p>
          <w:p w14:paraId="3B4D4D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具有防尘、防水滴、防浪涌等功能。</w:t>
            </w:r>
          </w:p>
          <w:p w14:paraId="5AEF6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rPr>
              <w:t>内置深度学习算法，可以对车辆的车牌、车身颜色、车型、主品牌及子品牌等信息进行检测。</w:t>
            </w:r>
          </w:p>
          <w:p w14:paraId="28BB71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7.</w:t>
            </w:r>
            <w:r>
              <w:rPr>
                <w:rFonts w:hint="eastAsia" w:ascii="宋体" w:hAnsi="宋体" w:eastAsia="宋体" w:cs="宋体"/>
                <w:sz w:val="24"/>
                <w:szCs w:val="24"/>
              </w:rPr>
              <w:t>支持多种类车牌识别：支持识别符合GA 36《中华人民共和国机动车号牌》标准的车牌类型。</w:t>
            </w:r>
          </w:p>
          <w:p w14:paraId="7A75B7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支持远程数据上传，可将抓拍的图片上传给终端服务器、FTP服务器或者后端平台等。</w:t>
            </w:r>
          </w:p>
          <w:p w14:paraId="392E40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9.</w:t>
            </w:r>
            <w:r>
              <w:rPr>
                <w:rFonts w:hint="eastAsia" w:ascii="宋体" w:hAnsi="宋体" w:eastAsia="宋体" w:cs="宋体"/>
                <w:sz w:val="24"/>
                <w:szCs w:val="24"/>
              </w:rPr>
              <w:t>支持模拟输出。</w:t>
            </w:r>
          </w:p>
        </w:tc>
        <w:tc>
          <w:tcPr>
            <w:tcW w:w="472" w:type="pct"/>
            <w:shd w:val="clear" w:color="auto" w:fill="auto"/>
            <w:vAlign w:val="center"/>
          </w:tcPr>
          <w:p w14:paraId="538ABC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188D50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636642C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c>
          <w:tcPr>
            <w:tcW w:w="564" w:type="pct"/>
            <w:shd w:val="clear" w:color="auto" w:fill="auto"/>
            <w:vAlign w:val="center"/>
          </w:tcPr>
          <w:p w14:paraId="12F2BA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3.92</w:t>
            </w:r>
          </w:p>
        </w:tc>
      </w:tr>
      <w:tr w14:paraId="01CE0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1E400A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2.2</w:t>
            </w:r>
          </w:p>
        </w:tc>
        <w:tc>
          <w:tcPr>
            <w:tcW w:w="885" w:type="pct"/>
            <w:shd w:val="clear" w:color="auto" w:fill="auto"/>
            <w:vAlign w:val="center"/>
          </w:tcPr>
          <w:p w14:paraId="6CB69C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车牌识补光灯</w:t>
            </w:r>
          </w:p>
        </w:tc>
        <w:tc>
          <w:tcPr>
            <w:tcW w:w="1843" w:type="pct"/>
            <w:shd w:val="clear" w:color="auto" w:fill="auto"/>
            <w:vAlign w:val="center"/>
          </w:tcPr>
          <w:p w14:paraId="22F273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补光灯：</w:t>
            </w:r>
            <w:r>
              <w:rPr>
                <w:rFonts w:hint="eastAsia" w:ascii="宋体" w:hAnsi="宋体" w:eastAsia="宋体" w:cs="宋体"/>
                <w:sz w:val="24"/>
                <w:szCs w:val="24"/>
              </w:rPr>
              <w:t>大功率白光LED频闪灯</w:t>
            </w:r>
            <w:r>
              <w:rPr>
                <w:rFonts w:hint="eastAsia" w:ascii="宋体" w:hAnsi="宋体" w:eastAsia="宋体" w:cs="宋体"/>
                <w:sz w:val="24"/>
                <w:szCs w:val="24"/>
                <w:lang w:eastAsia="zh-CN"/>
              </w:rPr>
              <w:t>；</w:t>
            </w:r>
          </w:p>
          <w:p w14:paraId="10900E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色温5000K~7000K；</w:t>
            </w:r>
          </w:p>
          <w:p w14:paraId="4124C2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三车道车牌补光；有效补光距离16m～25m；</w:t>
            </w:r>
          </w:p>
          <w:p w14:paraId="390139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支持5V电平量触发(可选开关量)；</w:t>
            </w:r>
          </w:p>
          <w:p w14:paraId="640C77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具有1路RS485、1路频闪输入接口、1路爆闪输入接口、1路同步输出接口；支持自闪、跟随模式；</w:t>
            </w:r>
          </w:p>
          <w:p w14:paraId="5D1369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支持频闪+爆闪模式，支持频率及占空比保护功能；</w:t>
            </w:r>
          </w:p>
          <w:p w14:paraId="63CB2A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支持光敏控制，支持通过占空比亮度可调；</w:t>
            </w:r>
          </w:p>
          <w:p w14:paraId="25822F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工作环境-40～+70℃；</w:t>
            </w:r>
          </w:p>
          <w:p w14:paraId="4B4D3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防护等级≥IP66；</w:t>
            </w:r>
          </w:p>
          <w:p w14:paraId="7B7EBC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可外配光栅可有效减少周边光污染。</w:t>
            </w:r>
          </w:p>
        </w:tc>
        <w:tc>
          <w:tcPr>
            <w:tcW w:w="472" w:type="pct"/>
            <w:shd w:val="clear" w:color="auto" w:fill="auto"/>
            <w:vAlign w:val="center"/>
          </w:tcPr>
          <w:p w14:paraId="0F85F9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63065C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183E50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0.49</w:t>
            </w:r>
          </w:p>
        </w:tc>
        <w:tc>
          <w:tcPr>
            <w:tcW w:w="564" w:type="pct"/>
            <w:shd w:val="clear" w:color="auto" w:fill="auto"/>
            <w:vAlign w:val="center"/>
          </w:tcPr>
          <w:p w14:paraId="2B5B97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r>
      <w:tr w14:paraId="4AADC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54" w:type="pct"/>
            <w:shd w:val="clear" w:color="auto" w:fill="auto"/>
            <w:vAlign w:val="center"/>
          </w:tcPr>
          <w:p w14:paraId="083E82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2.3</w:t>
            </w:r>
          </w:p>
        </w:tc>
        <w:tc>
          <w:tcPr>
            <w:tcW w:w="885" w:type="pct"/>
            <w:shd w:val="clear" w:color="auto" w:fill="auto"/>
            <w:vAlign w:val="center"/>
          </w:tcPr>
          <w:p w14:paraId="01C277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停车辅助-立柱</w:t>
            </w:r>
          </w:p>
        </w:tc>
        <w:tc>
          <w:tcPr>
            <w:tcW w:w="1843" w:type="pct"/>
            <w:shd w:val="clear" w:color="auto" w:fill="auto"/>
            <w:vAlign w:val="center"/>
          </w:tcPr>
          <w:p w14:paraId="7DC92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抓拍单元配套立柱</w:t>
            </w:r>
            <w:r>
              <w:rPr>
                <w:rFonts w:hint="eastAsia" w:ascii="宋体" w:hAnsi="宋体" w:eastAsia="宋体" w:cs="宋体"/>
                <w:sz w:val="24"/>
                <w:szCs w:val="24"/>
                <w:lang w:eastAsia="zh-CN"/>
              </w:rPr>
              <w:t>：</w:t>
            </w:r>
          </w:p>
          <w:p w14:paraId="236586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立杆高度：≥1.6米</w:t>
            </w:r>
            <w:r>
              <w:rPr>
                <w:rFonts w:hint="eastAsia" w:ascii="宋体" w:hAnsi="宋体" w:eastAsia="宋体" w:cs="宋体"/>
                <w:sz w:val="24"/>
                <w:szCs w:val="24"/>
                <w:lang w:eastAsia="zh-CN"/>
              </w:rPr>
              <w:t>；</w:t>
            </w:r>
          </w:p>
          <w:p w14:paraId="5A56F3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1.6米可安装出入口抓拍单元</w:t>
            </w:r>
            <w:r>
              <w:rPr>
                <w:rFonts w:hint="eastAsia" w:ascii="宋体" w:hAnsi="宋体" w:eastAsia="宋体" w:cs="宋体"/>
                <w:sz w:val="24"/>
                <w:szCs w:val="24"/>
                <w:lang w:eastAsia="zh-CN"/>
              </w:rPr>
              <w:t>；</w:t>
            </w:r>
          </w:p>
          <w:p w14:paraId="5114B0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0.75米处可安装LED显示屏</w:t>
            </w:r>
            <w:r>
              <w:rPr>
                <w:rFonts w:hint="eastAsia" w:ascii="宋体" w:hAnsi="宋体" w:eastAsia="宋体" w:cs="宋体"/>
                <w:sz w:val="24"/>
                <w:szCs w:val="24"/>
                <w:lang w:eastAsia="zh-CN"/>
              </w:rPr>
              <w:t>；</w:t>
            </w:r>
          </w:p>
        </w:tc>
        <w:tc>
          <w:tcPr>
            <w:tcW w:w="472" w:type="pct"/>
            <w:shd w:val="clear" w:color="auto" w:fill="auto"/>
            <w:vAlign w:val="center"/>
          </w:tcPr>
          <w:p w14:paraId="5BA30B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009B8C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2468C0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64" w:type="pct"/>
            <w:shd w:val="clear" w:color="auto" w:fill="auto"/>
            <w:vAlign w:val="center"/>
          </w:tcPr>
          <w:p w14:paraId="59DC89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7464A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154C98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885" w:type="pct"/>
            <w:shd w:val="clear" w:color="auto" w:fill="auto"/>
            <w:vAlign w:val="center"/>
          </w:tcPr>
          <w:p w14:paraId="55DAD2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电子道闸</w:t>
            </w:r>
          </w:p>
        </w:tc>
        <w:tc>
          <w:tcPr>
            <w:tcW w:w="1843" w:type="pct"/>
            <w:shd w:val="clear" w:color="auto" w:fill="auto"/>
            <w:vAlign w:val="center"/>
          </w:tcPr>
          <w:p w14:paraId="24186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2" w:type="pct"/>
            <w:shd w:val="clear" w:color="auto" w:fill="auto"/>
            <w:vAlign w:val="center"/>
          </w:tcPr>
          <w:p w14:paraId="5485D0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397" w:type="pct"/>
            <w:shd w:val="clear" w:color="auto" w:fill="auto"/>
            <w:vAlign w:val="center"/>
          </w:tcPr>
          <w:p w14:paraId="44CD62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81" w:type="pct"/>
            <w:shd w:val="clear" w:color="auto" w:fill="auto"/>
            <w:vAlign w:val="center"/>
          </w:tcPr>
          <w:p w14:paraId="55EC8919">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64" w:type="pct"/>
            <w:shd w:val="clear" w:color="auto" w:fill="auto"/>
            <w:vAlign w:val="center"/>
          </w:tcPr>
          <w:p w14:paraId="74CA3B69">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5BDD5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26A488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3.1</w:t>
            </w:r>
          </w:p>
        </w:tc>
        <w:tc>
          <w:tcPr>
            <w:tcW w:w="885" w:type="pct"/>
            <w:shd w:val="clear" w:color="auto" w:fill="auto"/>
            <w:vAlign w:val="center"/>
          </w:tcPr>
          <w:p w14:paraId="67F611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道闸</w:t>
            </w:r>
          </w:p>
        </w:tc>
        <w:tc>
          <w:tcPr>
            <w:tcW w:w="1843" w:type="pct"/>
            <w:shd w:val="clear" w:color="auto" w:fill="auto"/>
            <w:vAlign w:val="center"/>
          </w:tcPr>
          <w:p w14:paraId="457196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直流变频功能：抬杆和落杆速度可以独立调节，可以实现高速抬杆，快速通行；</w:t>
            </w:r>
          </w:p>
          <w:p w14:paraId="70B16F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全向道闸：不区分左右向</w:t>
            </w:r>
            <w:r>
              <w:rPr>
                <w:rFonts w:hint="eastAsia" w:ascii="宋体" w:hAnsi="宋体" w:eastAsia="宋体" w:cs="宋体"/>
                <w:sz w:val="24"/>
                <w:szCs w:val="24"/>
                <w:lang w:eastAsia="zh-CN"/>
              </w:rPr>
              <w:t>；</w:t>
            </w:r>
          </w:p>
          <w:p w14:paraId="228F0D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行星齿轮：传动效率高，性能稳定</w:t>
            </w:r>
          </w:p>
          <w:p w14:paraId="109667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快速开闸，最快可达0.6/0.9/1.5S（2/3/4米）</w:t>
            </w:r>
          </w:p>
          <w:p w14:paraId="73A632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支持遇阻反弹，开优先保护功能</w:t>
            </w:r>
            <w:r>
              <w:rPr>
                <w:rFonts w:hint="eastAsia" w:ascii="宋体" w:hAnsi="宋体" w:eastAsia="宋体" w:cs="宋体"/>
                <w:sz w:val="24"/>
                <w:szCs w:val="24"/>
                <w:lang w:eastAsia="zh-CN"/>
              </w:rPr>
              <w:t>，</w:t>
            </w:r>
          </w:p>
          <w:p w14:paraId="439996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免学习、按键微调限位位置</w:t>
            </w:r>
            <w:r>
              <w:rPr>
                <w:rFonts w:hint="eastAsia" w:ascii="宋体" w:hAnsi="宋体" w:eastAsia="宋体" w:cs="宋体"/>
                <w:sz w:val="24"/>
                <w:szCs w:val="24"/>
                <w:lang w:eastAsia="zh-CN"/>
              </w:rPr>
              <w:t>；</w:t>
            </w:r>
          </w:p>
          <w:p w14:paraId="0A14DB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具有</w:t>
            </w:r>
            <w:r>
              <w:rPr>
                <w:rFonts w:hint="eastAsia" w:ascii="宋体" w:hAnsi="宋体" w:eastAsia="宋体" w:cs="宋体"/>
                <w:sz w:val="24"/>
                <w:szCs w:val="24"/>
              </w:rPr>
              <w:t>事件日志记录</w:t>
            </w:r>
            <w:r>
              <w:rPr>
                <w:rFonts w:hint="eastAsia" w:ascii="宋体" w:hAnsi="宋体" w:eastAsia="宋体" w:cs="宋体"/>
                <w:sz w:val="24"/>
                <w:szCs w:val="24"/>
                <w:lang w:val="en-US" w:eastAsia="zh-CN"/>
              </w:rPr>
              <w:t>功能；</w:t>
            </w:r>
          </w:p>
          <w:p w14:paraId="4814C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支持红外，地感，雷达等多种防砸</w:t>
            </w:r>
          </w:p>
          <w:p w14:paraId="060AFC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手动开闸功能：停电情况下可使用辅助工具使道闸保持打开状态</w:t>
            </w:r>
            <w:r>
              <w:rPr>
                <w:rFonts w:hint="eastAsia" w:ascii="宋体" w:hAnsi="宋体" w:eastAsia="宋体" w:cs="宋体"/>
                <w:sz w:val="24"/>
                <w:szCs w:val="24"/>
                <w:lang w:eastAsia="zh-CN"/>
              </w:rPr>
              <w:t>。</w:t>
            </w:r>
          </w:p>
        </w:tc>
        <w:tc>
          <w:tcPr>
            <w:tcW w:w="472" w:type="pct"/>
            <w:shd w:val="clear" w:color="auto" w:fill="auto"/>
            <w:vAlign w:val="center"/>
          </w:tcPr>
          <w:p w14:paraId="00EB53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561CE7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套</w:t>
            </w:r>
          </w:p>
        </w:tc>
        <w:tc>
          <w:tcPr>
            <w:tcW w:w="481" w:type="pct"/>
            <w:shd w:val="clear" w:color="auto" w:fill="auto"/>
            <w:vAlign w:val="center"/>
          </w:tcPr>
          <w:p w14:paraId="6C777F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64" w:type="pct"/>
            <w:shd w:val="clear" w:color="auto" w:fill="auto"/>
            <w:vAlign w:val="center"/>
          </w:tcPr>
          <w:p w14:paraId="33426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5.88</w:t>
            </w:r>
          </w:p>
        </w:tc>
      </w:tr>
      <w:tr w14:paraId="68DC0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641DD4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3.2</w:t>
            </w:r>
          </w:p>
        </w:tc>
        <w:tc>
          <w:tcPr>
            <w:tcW w:w="885" w:type="pct"/>
            <w:shd w:val="clear" w:color="auto" w:fill="auto"/>
            <w:vAlign w:val="center"/>
          </w:tcPr>
          <w:p w14:paraId="18BCD7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出入口控制终端</w:t>
            </w:r>
          </w:p>
        </w:tc>
        <w:tc>
          <w:tcPr>
            <w:tcW w:w="1843" w:type="pct"/>
            <w:shd w:val="clear" w:color="auto" w:fill="auto"/>
            <w:vAlign w:val="center"/>
          </w:tcPr>
          <w:p w14:paraId="6D1D65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CPU：核心数≥6，主频≥3.0GHz</w:t>
            </w:r>
          </w:p>
          <w:p w14:paraId="6E2516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内存：容量≥8G，代数≥DDR4</w:t>
            </w:r>
          </w:p>
          <w:p w14:paraId="01E3C6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硬盘：总容量≥1T</w:t>
            </w:r>
          </w:p>
          <w:p w14:paraId="659BF5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显示器：液晶，尺寸≥21.5"</w:t>
            </w:r>
          </w:p>
          <w:p w14:paraId="0BD915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lang w:val="en-US" w:eastAsia="zh-CN"/>
              </w:rPr>
              <w:t>预装Windows操作系统，配套鼠标键盘</w:t>
            </w:r>
          </w:p>
          <w:p w14:paraId="528487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其他接口：≥6个1000Mbps自适应网口（G2~G6为交换机，G1为独立网口，支持双网隔离）、≥2个RS232、≥2个RS485、≥4个USB3.0；≥4个开关量输入，≥4个继电器开关量输出、≥1个VGA输出接口，≥1路内置预留SATA接口、≥1个HDMI输出接口</w:t>
            </w:r>
          </w:p>
          <w:p w14:paraId="30F6FA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平台功能：支持上传至其他中心管理系统（需定制）；</w:t>
            </w:r>
          </w:p>
          <w:p w14:paraId="3FB50A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远程管理：支持远程进行权限设置或维护管理；</w:t>
            </w:r>
          </w:p>
        </w:tc>
        <w:tc>
          <w:tcPr>
            <w:tcW w:w="472" w:type="pct"/>
            <w:shd w:val="clear" w:color="auto" w:fill="auto"/>
            <w:vAlign w:val="center"/>
          </w:tcPr>
          <w:p w14:paraId="5AEBCB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46CA06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72FFC61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2.94</w:t>
            </w:r>
          </w:p>
        </w:tc>
        <w:tc>
          <w:tcPr>
            <w:tcW w:w="564" w:type="pct"/>
            <w:shd w:val="clear" w:color="auto" w:fill="auto"/>
            <w:vAlign w:val="center"/>
          </w:tcPr>
          <w:p w14:paraId="2745BF5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5.88</w:t>
            </w:r>
          </w:p>
        </w:tc>
      </w:tr>
      <w:tr w14:paraId="04B0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29F604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885" w:type="pct"/>
            <w:shd w:val="clear" w:color="auto" w:fill="auto"/>
            <w:vAlign w:val="center"/>
          </w:tcPr>
          <w:p w14:paraId="46379E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LED引导</w:t>
            </w:r>
          </w:p>
        </w:tc>
        <w:tc>
          <w:tcPr>
            <w:tcW w:w="1843" w:type="pct"/>
            <w:shd w:val="clear" w:color="auto" w:fill="auto"/>
            <w:vAlign w:val="center"/>
          </w:tcPr>
          <w:p w14:paraId="266A8D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2" w:type="pct"/>
            <w:shd w:val="clear" w:color="auto" w:fill="auto"/>
            <w:vAlign w:val="center"/>
          </w:tcPr>
          <w:p w14:paraId="7BFB3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397" w:type="pct"/>
            <w:shd w:val="clear" w:color="auto" w:fill="auto"/>
            <w:vAlign w:val="center"/>
          </w:tcPr>
          <w:p w14:paraId="47C7D1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81" w:type="pct"/>
            <w:shd w:val="clear" w:color="auto" w:fill="auto"/>
            <w:vAlign w:val="center"/>
          </w:tcPr>
          <w:p w14:paraId="5629A6F1">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64" w:type="pct"/>
            <w:shd w:val="clear" w:color="auto" w:fill="auto"/>
            <w:vAlign w:val="center"/>
          </w:tcPr>
          <w:p w14:paraId="1457B277">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5A4EB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416B4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4.1</w:t>
            </w:r>
          </w:p>
        </w:tc>
        <w:tc>
          <w:tcPr>
            <w:tcW w:w="885" w:type="pct"/>
            <w:shd w:val="clear" w:color="auto" w:fill="auto"/>
            <w:vAlign w:val="center"/>
          </w:tcPr>
          <w:p w14:paraId="282FF7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LED放行引导屏</w:t>
            </w:r>
          </w:p>
        </w:tc>
        <w:tc>
          <w:tcPr>
            <w:tcW w:w="1843" w:type="pct"/>
            <w:shd w:val="clear" w:color="auto" w:fill="auto"/>
            <w:vAlign w:val="center"/>
          </w:tcPr>
          <w:p w14:paraId="259C8D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室外显示屏</w:t>
            </w:r>
            <w:r>
              <w:rPr>
                <w:rFonts w:hint="eastAsia" w:ascii="宋体" w:hAnsi="宋体" w:eastAsia="宋体" w:cs="宋体"/>
                <w:sz w:val="24"/>
                <w:szCs w:val="24"/>
                <w:lang w:eastAsia="zh-CN"/>
              </w:rPr>
              <w:t>：</w:t>
            </w:r>
          </w:p>
          <w:p w14:paraId="02D973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LED亮度</w:t>
            </w:r>
            <w:r>
              <w:rPr>
                <w:rFonts w:hint="eastAsia" w:ascii="宋体" w:hAnsi="宋体" w:eastAsia="宋体" w:cs="宋体"/>
                <w:sz w:val="24"/>
                <w:szCs w:val="24"/>
                <w:lang w:eastAsia="zh-CN"/>
              </w:rPr>
              <w:t>：</w:t>
            </w:r>
            <w:r>
              <w:rPr>
                <w:rFonts w:hint="eastAsia" w:ascii="宋体" w:hAnsi="宋体" w:eastAsia="宋体" w:cs="宋体"/>
                <w:sz w:val="24"/>
                <w:szCs w:val="24"/>
              </w:rPr>
              <w:t>≥1200cd</w:t>
            </w:r>
          </w:p>
          <w:p w14:paraId="7EF060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LED角度</w:t>
            </w:r>
            <w:r>
              <w:rPr>
                <w:rFonts w:hint="eastAsia" w:ascii="宋体" w:hAnsi="宋体" w:eastAsia="宋体" w:cs="宋体"/>
                <w:sz w:val="24"/>
                <w:szCs w:val="24"/>
                <w:lang w:eastAsia="zh-CN"/>
              </w:rPr>
              <w:t>：</w:t>
            </w:r>
            <w:r>
              <w:rPr>
                <w:rFonts w:hint="eastAsia" w:ascii="宋体" w:hAnsi="宋体" w:eastAsia="宋体" w:cs="宋体"/>
                <w:sz w:val="24"/>
                <w:szCs w:val="24"/>
              </w:rPr>
              <w:t>≥110°</w:t>
            </w:r>
          </w:p>
          <w:p w14:paraId="45E0ED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防护等级</w:t>
            </w:r>
            <w:r>
              <w:rPr>
                <w:rFonts w:hint="eastAsia" w:ascii="宋体" w:hAnsi="宋体" w:eastAsia="宋体" w:cs="宋体"/>
                <w:sz w:val="24"/>
                <w:szCs w:val="24"/>
                <w:lang w:eastAsia="zh-CN"/>
              </w:rPr>
              <w:t>：</w:t>
            </w:r>
            <w:r>
              <w:rPr>
                <w:rFonts w:hint="eastAsia" w:ascii="宋体" w:hAnsi="宋体" w:eastAsia="宋体" w:cs="宋体"/>
                <w:sz w:val="24"/>
                <w:szCs w:val="24"/>
              </w:rPr>
              <w:t>≥IP54</w:t>
            </w:r>
          </w:p>
          <w:p w14:paraId="355D6A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下行通讯方式</w:t>
            </w:r>
            <w:r>
              <w:rPr>
                <w:rFonts w:hint="eastAsia" w:ascii="宋体" w:hAnsi="宋体" w:eastAsia="宋体" w:cs="宋体"/>
                <w:sz w:val="24"/>
                <w:szCs w:val="24"/>
                <w:lang w:eastAsia="zh-CN"/>
              </w:rPr>
              <w:t>：</w:t>
            </w:r>
            <w:r>
              <w:rPr>
                <w:rFonts w:hint="eastAsia" w:ascii="宋体" w:hAnsi="宋体" w:eastAsia="宋体" w:cs="宋体"/>
                <w:sz w:val="24"/>
                <w:szCs w:val="24"/>
              </w:rPr>
              <w:t>RJ45</w:t>
            </w:r>
          </w:p>
          <w:p w14:paraId="05CE70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显示方式</w:t>
            </w:r>
            <w:r>
              <w:rPr>
                <w:rFonts w:hint="eastAsia" w:ascii="宋体" w:hAnsi="宋体" w:eastAsia="宋体" w:cs="宋体"/>
                <w:sz w:val="24"/>
                <w:szCs w:val="24"/>
                <w:lang w:eastAsia="zh-CN"/>
              </w:rPr>
              <w:t>：</w:t>
            </w:r>
            <w:r>
              <w:rPr>
                <w:rFonts w:hint="eastAsia" w:ascii="宋体" w:hAnsi="宋体" w:eastAsia="宋体" w:cs="宋体"/>
                <w:sz w:val="24"/>
                <w:szCs w:val="24"/>
              </w:rPr>
              <w:t>即显、左移、上移、上展开、下展开等显示方式</w:t>
            </w:r>
          </w:p>
          <w:p w14:paraId="3B2D5A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字符显示</w:t>
            </w:r>
            <w:r>
              <w:rPr>
                <w:rFonts w:hint="eastAsia" w:ascii="宋体" w:hAnsi="宋体" w:eastAsia="宋体" w:cs="宋体"/>
                <w:sz w:val="24"/>
                <w:szCs w:val="24"/>
                <w:lang w:eastAsia="zh-CN"/>
              </w:rPr>
              <w:t>：</w:t>
            </w:r>
            <w:r>
              <w:rPr>
                <w:rFonts w:hint="eastAsia" w:ascii="宋体" w:hAnsi="宋体" w:eastAsia="宋体" w:cs="宋体"/>
                <w:sz w:val="24"/>
                <w:szCs w:val="24"/>
              </w:rPr>
              <w:t>支持GB2312字符集，支持16×16点阵常用汉字</w:t>
            </w:r>
          </w:p>
          <w:p w14:paraId="4A058A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通讯距离</w:t>
            </w:r>
            <w:r>
              <w:rPr>
                <w:rFonts w:hint="eastAsia" w:ascii="宋体" w:hAnsi="宋体" w:eastAsia="宋体" w:cs="宋体"/>
                <w:sz w:val="24"/>
                <w:szCs w:val="24"/>
                <w:lang w:eastAsia="zh-CN"/>
              </w:rPr>
              <w:t>：</w:t>
            </w:r>
            <w:r>
              <w:rPr>
                <w:rFonts w:hint="eastAsia" w:ascii="宋体" w:hAnsi="宋体" w:eastAsia="宋体" w:cs="宋体"/>
                <w:sz w:val="24"/>
                <w:szCs w:val="24"/>
              </w:rPr>
              <w:t>RJ45 ≥120米</w:t>
            </w:r>
          </w:p>
        </w:tc>
        <w:tc>
          <w:tcPr>
            <w:tcW w:w="472" w:type="pct"/>
            <w:shd w:val="clear" w:color="auto" w:fill="auto"/>
            <w:vAlign w:val="center"/>
          </w:tcPr>
          <w:p w14:paraId="7722F8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70AB7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块</w:t>
            </w:r>
          </w:p>
        </w:tc>
        <w:tc>
          <w:tcPr>
            <w:tcW w:w="481" w:type="pct"/>
            <w:shd w:val="clear" w:color="auto" w:fill="auto"/>
            <w:vAlign w:val="center"/>
          </w:tcPr>
          <w:p w14:paraId="03F172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2.45</w:t>
            </w:r>
          </w:p>
        </w:tc>
        <w:tc>
          <w:tcPr>
            <w:tcW w:w="564" w:type="pct"/>
            <w:shd w:val="clear" w:color="auto" w:fill="auto"/>
            <w:vAlign w:val="center"/>
          </w:tcPr>
          <w:p w14:paraId="239EA8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4.9</w:t>
            </w:r>
          </w:p>
        </w:tc>
      </w:tr>
      <w:tr w14:paraId="6A8F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785D6D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4.2</w:t>
            </w:r>
          </w:p>
        </w:tc>
        <w:tc>
          <w:tcPr>
            <w:tcW w:w="885" w:type="pct"/>
            <w:shd w:val="clear" w:color="auto" w:fill="auto"/>
            <w:vAlign w:val="center"/>
          </w:tcPr>
          <w:p w14:paraId="03E4C7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停车辅助-立柱</w:t>
            </w:r>
          </w:p>
        </w:tc>
        <w:tc>
          <w:tcPr>
            <w:tcW w:w="1843" w:type="pct"/>
            <w:shd w:val="clear" w:color="auto" w:fill="auto"/>
            <w:vAlign w:val="center"/>
          </w:tcPr>
          <w:p w14:paraId="6C8640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配套立柱</w:t>
            </w:r>
            <w:r>
              <w:rPr>
                <w:rFonts w:hint="eastAsia" w:ascii="宋体" w:hAnsi="宋体" w:eastAsia="宋体" w:cs="宋体"/>
                <w:sz w:val="24"/>
                <w:szCs w:val="24"/>
                <w:lang w:eastAsia="zh-CN"/>
              </w:rPr>
              <w:t>：</w:t>
            </w:r>
          </w:p>
          <w:p w14:paraId="1C5F0A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1.3米处可安装一体机</w:t>
            </w:r>
          </w:p>
          <w:p w14:paraId="49289F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0.5米处可安装LED显示屏</w:t>
            </w:r>
          </w:p>
        </w:tc>
        <w:tc>
          <w:tcPr>
            <w:tcW w:w="472" w:type="pct"/>
            <w:shd w:val="clear" w:color="auto" w:fill="auto"/>
            <w:vAlign w:val="center"/>
          </w:tcPr>
          <w:p w14:paraId="2471E9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7D6E2E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3014EF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64" w:type="pct"/>
            <w:shd w:val="clear" w:color="auto" w:fill="auto"/>
            <w:vAlign w:val="center"/>
          </w:tcPr>
          <w:p w14:paraId="1EEB2C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3E74A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54" w:type="pct"/>
            <w:shd w:val="clear" w:color="auto" w:fill="auto"/>
            <w:vAlign w:val="center"/>
          </w:tcPr>
          <w:p w14:paraId="77A0F0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4.3</w:t>
            </w:r>
          </w:p>
        </w:tc>
        <w:tc>
          <w:tcPr>
            <w:tcW w:w="885" w:type="pct"/>
            <w:shd w:val="clear" w:color="auto" w:fill="auto"/>
            <w:vAlign w:val="center"/>
          </w:tcPr>
          <w:p w14:paraId="5EEEC9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LED车道悬挂显示屏</w:t>
            </w:r>
          </w:p>
        </w:tc>
        <w:tc>
          <w:tcPr>
            <w:tcW w:w="1843" w:type="pct"/>
            <w:shd w:val="clear" w:color="auto" w:fill="auto"/>
            <w:vAlign w:val="center"/>
          </w:tcPr>
          <w:p w14:paraId="138E7C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 类型：户外</w:t>
            </w:r>
          </w:p>
          <w:p w14:paraId="4F7FC2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2</w:t>
            </w:r>
            <w:r>
              <w:rPr>
                <w:rFonts w:hint="eastAsia" w:ascii="宋体" w:hAnsi="宋体" w:eastAsia="宋体" w:cs="宋体"/>
                <w:sz w:val="24"/>
                <w:szCs w:val="24"/>
                <w:lang w:val="en-US" w:eastAsia="zh-CN"/>
              </w:rPr>
              <w:t>.</w:t>
            </w:r>
            <w:r>
              <w:rPr>
                <w:rFonts w:hint="eastAsia" w:ascii="宋体" w:hAnsi="宋体" w:eastAsia="宋体" w:cs="宋体"/>
                <w:sz w:val="24"/>
                <w:szCs w:val="24"/>
              </w:rPr>
              <w:t xml:space="preserve"> LED封装</w:t>
            </w:r>
          </w:p>
          <w:p w14:paraId="003879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3</w:t>
            </w:r>
            <w:r>
              <w:rPr>
                <w:rFonts w:hint="eastAsia" w:ascii="宋体" w:hAnsi="宋体" w:eastAsia="宋体" w:cs="宋体"/>
                <w:sz w:val="24"/>
                <w:szCs w:val="24"/>
                <w:lang w:val="en-US" w:eastAsia="zh-CN"/>
              </w:rPr>
              <w:t>.</w:t>
            </w:r>
            <w:r>
              <w:rPr>
                <w:rFonts w:hint="eastAsia" w:ascii="宋体" w:hAnsi="宋体" w:eastAsia="宋体" w:cs="宋体"/>
                <w:sz w:val="24"/>
                <w:szCs w:val="24"/>
              </w:rPr>
              <w:t>像素间距：≤10mm</w:t>
            </w:r>
          </w:p>
          <w:p w14:paraId="4B242F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4</w:t>
            </w:r>
            <w:r>
              <w:rPr>
                <w:rFonts w:hint="eastAsia" w:ascii="宋体" w:hAnsi="宋体" w:eastAsia="宋体" w:cs="宋体"/>
                <w:sz w:val="24"/>
                <w:szCs w:val="24"/>
                <w:lang w:val="en-US" w:eastAsia="zh-CN"/>
              </w:rPr>
              <w:t>.</w:t>
            </w:r>
            <w:r>
              <w:rPr>
                <w:rFonts w:hint="eastAsia" w:ascii="宋体" w:hAnsi="宋体" w:eastAsia="宋体" w:cs="宋体"/>
                <w:sz w:val="24"/>
                <w:szCs w:val="24"/>
              </w:rPr>
              <w:t>像素密度：≥10000点/㎡</w:t>
            </w:r>
          </w:p>
          <w:p w14:paraId="409956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5</w:t>
            </w:r>
            <w:r>
              <w:rPr>
                <w:rFonts w:hint="eastAsia" w:ascii="宋体" w:hAnsi="宋体" w:eastAsia="宋体" w:cs="宋体"/>
                <w:sz w:val="24"/>
                <w:szCs w:val="24"/>
                <w:lang w:val="en-US" w:eastAsia="zh-CN"/>
              </w:rPr>
              <w:t>.</w:t>
            </w:r>
            <w:r>
              <w:rPr>
                <w:rFonts w:hint="eastAsia" w:ascii="宋体" w:hAnsi="宋体" w:eastAsia="宋体" w:cs="宋体"/>
                <w:sz w:val="24"/>
                <w:szCs w:val="24"/>
              </w:rPr>
              <w:t>亮度：≥5000nits</w:t>
            </w:r>
          </w:p>
          <w:p w14:paraId="72573E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6</w:t>
            </w:r>
            <w:r>
              <w:rPr>
                <w:rFonts w:hint="eastAsia" w:ascii="宋体" w:hAnsi="宋体" w:eastAsia="宋体" w:cs="宋体"/>
                <w:sz w:val="24"/>
                <w:szCs w:val="24"/>
                <w:lang w:val="en-US" w:eastAsia="zh-CN"/>
              </w:rPr>
              <w:t>.</w:t>
            </w:r>
            <w:r>
              <w:rPr>
                <w:rFonts w:hint="eastAsia" w:ascii="宋体" w:hAnsi="宋体" w:eastAsia="宋体" w:cs="宋体"/>
                <w:sz w:val="24"/>
                <w:szCs w:val="24"/>
              </w:rPr>
              <w:t>视角：≥120°</w:t>
            </w:r>
          </w:p>
          <w:p w14:paraId="1BF7D8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7</w:t>
            </w:r>
            <w:r>
              <w:rPr>
                <w:rFonts w:hint="eastAsia" w:ascii="宋体" w:hAnsi="宋体" w:eastAsia="宋体" w:cs="宋体"/>
                <w:sz w:val="24"/>
                <w:szCs w:val="24"/>
                <w:lang w:val="en-US" w:eastAsia="zh-CN"/>
              </w:rPr>
              <w:t>.</w:t>
            </w:r>
            <w:r>
              <w:rPr>
                <w:rFonts w:hint="eastAsia" w:ascii="宋体" w:hAnsi="宋体" w:eastAsia="宋体" w:cs="宋体"/>
                <w:sz w:val="24"/>
                <w:szCs w:val="24"/>
              </w:rPr>
              <w:t>刷新频率：≥3840Hz</w:t>
            </w:r>
          </w:p>
          <w:p w14:paraId="5D76F0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8</w:t>
            </w:r>
            <w:r>
              <w:rPr>
                <w:rFonts w:hint="eastAsia" w:ascii="宋体" w:hAnsi="宋体" w:eastAsia="宋体" w:cs="宋体"/>
                <w:sz w:val="24"/>
                <w:szCs w:val="24"/>
                <w:lang w:val="en-US" w:eastAsia="zh-CN"/>
              </w:rPr>
              <w:t>.</w:t>
            </w:r>
            <w:r>
              <w:rPr>
                <w:rFonts w:hint="eastAsia" w:ascii="宋体" w:hAnsi="宋体" w:eastAsia="宋体" w:cs="宋体"/>
                <w:sz w:val="24"/>
                <w:szCs w:val="24"/>
              </w:rPr>
              <w:t>峰值功耗 ≤800W/㎡</w:t>
            </w:r>
          </w:p>
          <w:p w14:paraId="007F32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rPr>
                <w:rFonts w:hint="eastAsia" w:ascii="宋体" w:hAnsi="宋体" w:eastAsia="宋体" w:cs="宋体"/>
                <w:kern w:val="2"/>
                <w:sz w:val="24"/>
                <w:szCs w:val="24"/>
                <w:lang w:val="en-US" w:eastAsia="zh-CN" w:bidi="ar-SA"/>
              </w:rPr>
            </w:pPr>
            <w:r>
              <w:rPr>
                <w:rFonts w:hint="eastAsia" w:ascii="宋体" w:hAnsi="宋体" w:eastAsia="宋体" w:cs="宋体"/>
                <w:sz w:val="24"/>
                <w:szCs w:val="24"/>
              </w:rPr>
              <w:t>9</w:t>
            </w:r>
            <w:r>
              <w:rPr>
                <w:rFonts w:hint="eastAsia" w:ascii="宋体" w:hAnsi="宋体" w:eastAsia="宋体" w:cs="宋体"/>
                <w:sz w:val="24"/>
                <w:szCs w:val="24"/>
                <w:lang w:val="en-US" w:eastAsia="zh-CN"/>
              </w:rPr>
              <w:t>.</w:t>
            </w:r>
            <w:r>
              <w:rPr>
                <w:rFonts w:hint="eastAsia" w:ascii="宋体" w:hAnsi="宋体" w:eastAsia="宋体" w:cs="宋体"/>
                <w:sz w:val="24"/>
                <w:szCs w:val="24"/>
              </w:rPr>
              <w:t>防水箱体</w:t>
            </w:r>
          </w:p>
        </w:tc>
        <w:tc>
          <w:tcPr>
            <w:tcW w:w="472" w:type="pct"/>
            <w:shd w:val="clear" w:color="auto" w:fill="auto"/>
            <w:vAlign w:val="center"/>
          </w:tcPr>
          <w:p w14:paraId="3A13A7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2</w:t>
            </w:r>
          </w:p>
        </w:tc>
        <w:tc>
          <w:tcPr>
            <w:tcW w:w="397" w:type="pct"/>
            <w:shd w:val="clear" w:color="auto" w:fill="auto"/>
            <w:vAlign w:val="center"/>
          </w:tcPr>
          <w:p w14:paraId="0C66E7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481" w:type="pct"/>
            <w:shd w:val="clear" w:color="auto" w:fill="auto"/>
            <w:vAlign w:val="center"/>
          </w:tcPr>
          <w:p w14:paraId="54EB891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0.98</w:t>
            </w:r>
          </w:p>
        </w:tc>
        <w:tc>
          <w:tcPr>
            <w:tcW w:w="564" w:type="pct"/>
            <w:shd w:val="clear" w:color="auto" w:fill="auto"/>
            <w:vAlign w:val="center"/>
          </w:tcPr>
          <w:p w14:paraId="71C55E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4DCC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354" w:type="pct"/>
            <w:shd w:val="clear" w:color="auto" w:fill="auto"/>
            <w:vAlign w:val="center"/>
          </w:tcPr>
          <w:p w14:paraId="361008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885" w:type="pct"/>
            <w:shd w:val="clear" w:color="auto" w:fill="auto"/>
            <w:vAlign w:val="center"/>
          </w:tcPr>
          <w:p w14:paraId="270E97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通道监控</w:t>
            </w:r>
          </w:p>
        </w:tc>
        <w:tc>
          <w:tcPr>
            <w:tcW w:w="1843" w:type="pct"/>
            <w:shd w:val="clear" w:color="auto" w:fill="auto"/>
            <w:vAlign w:val="center"/>
          </w:tcPr>
          <w:p w14:paraId="54E30A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72" w:type="pct"/>
            <w:shd w:val="clear" w:color="auto" w:fill="auto"/>
            <w:vAlign w:val="center"/>
          </w:tcPr>
          <w:p w14:paraId="5FA6BC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p>
        </w:tc>
        <w:tc>
          <w:tcPr>
            <w:tcW w:w="397" w:type="pct"/>
            <w:shd w:val="clear" w:color="auto" w:fill="auto"/>
            <w:vAlign w:val="center"/>
          </w:tcPr>
          <w:p w14:paraId="4F15A1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p>
        </w:tc>
        <w:tc>
          <w:tcPr>
            <w:tcW w:w="481" w:type="pct"/>
            <w:shd w:val="clear" w:color="auto" w:fill="auto"/>
            <w:vAlign w:val="center"/>
          </w:tcPr>
          <w:p w14:paraId="317D4C8B">
            <w:pPr>
              <w:keepNext w:val="0"/>
              <w:keepLines w:val="0"/>
              <w:suppressLineNumbers w:val="0"/>
              <w:spacing w:before="0" w:beforeAutospacing="0" w:after="0" w:afterAutospacing="0"/>
              <w:ind w:left="0" w:right="0"/>
              <w:rPr>
                <w:rFonts w:hint="eastAsia" w:ascii="宋体" w:hAnsi="宋体" w:eastAsia="宋体" w:cs="宋体"/>
                <w:sz w:val="24"/>
                <w:szCs w:val="24"/>
              </w:rPr>
            </w:pPr>
          </w:p>
        </w:tc>
        <w:tc>
          <w:tcPr>
            <w:tcW w:w="564" w:type="pct"/>
            <w:shd w:val="clear" w:color="auto" w:fill="auto"/>
            <w:vAlign w:val="center"/>
          </w:tcPr>
          <w:p w14:paraId="497D7A4C">
            <w:pPr>
              <w:keepNext w:val="0"/>
              <w:keepLines w:val="0"/>
              <w:suppressLineNumbers w:val="0"/>
              <w:spacing w:before="0" w:beforeAutospacing="0" w:after="0" w:afterAutospacing="0"/>
              <w:ind w:left="0" w:right="0"/>
              <w:rPr>
                <w:rFonts w:hint="eastAsia" w:ascii="宋体" w:hAnsi="宋体" w:eastAsia="宋体" w:cs="宋体"/>
                <w:sz w:val="24"/>
                <w:szCs w:val="24"/>
              </w:rPr>
            </w:pPr>
          </w:p>
        </w:tc>
      </w:tr>
      <w:tr w14:paraId="51407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4" w:type="pct"/>
            <w:shd w:val="clear" w:color="auto" w:fill="auto"/>
            <w:vAlign w:val="center"/>
          </w:tcPr>
          <w:p w14:paraId="39A7C7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5.1</w:t>
            </w:r>
          </w:p>
        </w:tc>
        <w:tc>
          <w:tcPr>
            <w:tcW w:w="885" w:type="pct"/>
            <w:shd w:val="clear" w:color="auto" w:fill="auto"/>
            <w:vAlign w:val="center"/>
          </w:tcPr>
          <w:p w14:paraId="225BD5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AI多摄系列网络摄像机</w:t>
            </w:r>
          </w:p>
        </w:tc>
        <w:tc>
          <w:tcPr>
            <w:tcW w:w="1843" w:type="pct"/>
            <w:shd w:val="clear" w:color="auto" w:fill="auto"/>
            <w:vAlign w:val="center"/>
          </w:tcPr>
          <w:p w14:paraId="583D1B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 AI多摄全结构化双目黑光筒机，上通道基于视网膜成像原理，提供卓越的图像视觉体验。下通道基于全彩镜头、ISP算法等，在极低亮度下，上下通道呈现如在白昼中的彩色。</w:t>
            </w:r>
          </w:p>
          <w:p w14:paraId="3C38BE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2. AI多摄由双镜头相机与高性能GPU模块组成，聚合多种专为复杂场景设计的深度学习算法，实现全结构化数据精准采集，具备多场景数据融合分析能力，实现全方位态势感知。</w:t>
            </w:r>
          </w:p>
          <w:p w14:paraId="340880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3. 支持智能资源模式切换：全结构化（默认）、人脸抓拍、人脸比对、道路监控、Smart事件；</w:t>
            </w:r>
          </w:p>
          <w:p w14:paraId="241938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4. 内置不少于3个图像传感器，均不小于1/1.8"靶面尺寸。具有双路视频采集、输出功能，其中一路采用单镜头、双图像传感器采集方式，2个图像传感器分别采集黑白及彩色图像，可对这两路视频图像融合输出。内置2颗CPU、GPU、NPU三合一芯片。</w:t>
            </w:r>
          </w:p>
          <w:p w14:paraId="2B197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5. 内置2个麦克风、1个扬声器、1个风扇。</w:t>
            </w:r>
          </w:p>
          <w:p w14:paraId="17F14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6. 内置混合补光灯（均由红外灯、白光灯组成），支持混合补光、白光补光和关闭模式，可根据被摄物的距离自动调节混合灯亮度。</w:t>
            </w:r>
          </w:p>
          <w:p w14:paraId="7C75F7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7. 最低照度彩色不大于0.0002 lx，黑白不大于0.0001 lx。</w:t>
            </w:r>
          </w:p>
          <w:p w14:paraId="7C5ABD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8. 信噪比不小于60dB。</w:t>
            </w:r>
          </w:p>
          <w:p w14:paraId="6CFC48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9. 支持幂影功能，可同时对不同速度、明亮度、反光度的行人、非机动车、机动车分类曝光，可实时检测、跟踪、抓拍行进的行人人脸、人体、非机动车及车上人员、机动车车牌、机动车；可识别人脸及车牌号码，同时抓拍的人脸和车牌号码图片应清晰可辨，无过曝、过暗情况。</w:t>
            </w:r>
          </w:p>
          <w:p w14:paraId="51AB47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10. 可开启瞳孔亮斑消除功能，功能开启后，环境照度≤20 lx时，开启白光补光灯情况下，可消除预览、抓拍或录像时白光对行人造成的瞳孔亮斑。</w:t>
            </w:r>
          </w:p>
          <w:p w14:paraId="12B708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11. 在分辨率1920x1080 @ 25fps，码流设置为1Mbps时，视频图像传输延时不大于60ms。</w:t>
            </w:r>
          </w:p>
          <w:p w14:paraId="2BF792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12. 支持亮度异常、清晰度异常、花屏、雪花、偏色、画面冻结、增益失衡、画面抖动、条纹干扰、信号丢失、视频遮挡、光晕、紫边等故障报警功能。</w:t>
            </w:r>
          </w:p>
          <w:p w14:paraId="0CD164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13. 在2560x1440 @ 25fps下，清晰度均不小于1400TVL。</w:t>
            </w:r>
          </w:p>
          <w:p w14:paraId="22B97E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14. 支持检出两眼瞳距20像素点以上的人脸图片。</w:t>
            </w:r>
          </w:p>
          <w:p w14:paraId="4533C2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15. 支持侧脸过滤功能，可过滤上下、左右角度达到预设值的人脸。</w:t>
            </w:r>
          </w:p>
          <w:p w14:paraId="5F096E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16. 支持单场景同时检出不少于40张人脸图片。</w:t>
            </w:r>
          </w:p>
          <w:p w14:paraId="0C083F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17. 同一静止场景相同图像质量下，设备在H.265编码方式时，开启智能编码功能和不开启智能编码相比，码率节约不小于80%。</w:t>
            </w:r>
          </w:p>
          <w:p w14:paraId="539DB9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18. 内置eMMC存储，支持开启、关闭eMMC保护功能。</w:t>
            </w:r>
          </w:p>
          <w:p w14:paraId="2E04E8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19. 不低于IP66防护等级。</w:t>
            </w:r>
          </w:p>
          <w:p w14:paraId="14DEDA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20. 具有DC12V电压输出接口。</w:t>
            </w:r>
          </w:p>
          <w:p w14:paraId="7DE33B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21. 支持对镜头前盖玻璃加热，去除玻璃上的冰状和水状附着物。</w:t>
            </w:r>
          </w:p>
          <w:p w14:paraId="11A038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lang w:eastAsia="zh-CN"/>
              </w:rPr>
            </w:pPr>
            <w:r>
              <w:rPr>
                <w:rFonts w:hint="eastAsia" w:ascii="宋体" w:hAnsi="宋体" w:eastAsia="宋体" w:cs="宋体"/>
                <w:sz w:val="24"/>
                <w:szCs w:val="24"/>
              </w:rPr>
              <w:t>22. 采用金属外壳，下置藏线盒。可通过IE浏览器或客户端软件控制镜头垂直±10°调节。</w:t>
            </w:r>
          </w:p>
          <w:p w14:paraId="79A8CD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left"/>
              <w:rPr>
                <w:rFonts w:hint="eastAsia" w:ascii="宋体" w:hAnsi="宋体" w:eastAsia="宋体" w:cs="宋体"/>
                <w:sz w:val="24"/>
                <w:szCs w:val="24"/>
              </w:rPr>
            </w:pPr>
            <w:r>
              <w:rPr>
                <w:rFonts w:hint="eastAsia" w:ascii="宋体" w:hAnsi="宋体" w:eastAsia="宋体" w:cs="宋体"/>
                <w:sz w:val="24"/>
                <w:szCs w:val="24"/>
              </w:rPr>
              <w:t>23. 支持数据感知功能，在IE 浏览器下，重启事件记录可包括正常重启和异常重启2种类型。正常重启可记录重启的时间、服务类型、用户名、IP/域名信息；异常重启可记录重启时间、异常类型信息；</w:t>
            </w:r>
          </w:p>
        </w:tc>
        <w:tc>
          <w:tcPr>
            <w:tcW w:w="472" w:type="pct"/>
            <w:shd w:val="clear" w:color="auto" w:fill="auto"/>
            <w:vAlign w:val="center"/>
          </w:tcPr>
          <w:p w14:paraId="1D053C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4</w:t>
            </w:r>
          </w:p>
        </w:tc>
        <w:tc>
          <w:tcPr>
            <w:tcW w:w="397" w:type="pct"/>
            <w:shd w:val="clear" w:color="auto" w:fill="auto"/>
            <w:vAlign w:val="center"/>
          </w:tcPr>
          <w:p w14:paraId="14DC93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台</w:t>
            </w:r>
          </w:p>
        </w:tc>
        <w:tc>
          <w:tcPr>
            <w:tcW w:w="481" w:type="pct"/>
            <w:shd w:val="clear" w:color="auto" w:fill="auto"/>
            <w:vAlign w:val="center"/>
          </w:tcPr>
          <w:p w14:paraId="0D5C4F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2.352</w:t>
            </w:r>
          </w:p>
        </w:tc>
        <w:tc>
          <w:tcPr>
            <w:tcW w:w="564" w:type="pct"/>
            <w:shd w:val="clear" w:color="auto" w:fill="auto"/>
            <w:vAlign w:val="center"/>
          </w:tcPr>
          <w:p w14:paraId="690984E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9.408</w:t>
            </w:r>
          </w:p>
        </w:tc>
      </w:tr>
      <w:tr w14:paraId="21DB5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435" w:type="pct"/>
            <w:gridSpan w:val="6"/>
            <w:shd w:val="clear" w:color="auto" w:fill="auto"/>
            <w:vAlign w:val="center"/>
          </w:tcPr>
          <w:p w14:paraId="10F26A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小计（万元）</w:t>
            </w:r>
          </w:p>
        </w:tc>
        <w:tc>
          <w:tcPr>
            <w:tcW w:w="564" w:type="pct"/>
            <w:shd w:val="clear" w:color="auto" w:fill="auto"/>
            <w:vAlign w:val="center"/>
          </w:tcPr>
          <w:p w14:paraId="3EC9BDA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41.748</w:t>
            </w:r>
          </w:p>
        </w:tc>
      </w:tr>
    </w:tbl>
    <w:p w14:paraId="0330998E">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4.11海关功能房和围网</w:t>
      </w:r>
    </w:p>
    <w:tbl>
      <w:tblPr>
        <w:tblStyle w:val="17"/>
        <w:tblW w:w="49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0"/>
        <w:gridCol w:w="1760"/>
        <w:gridCol w:w="3621"/>
        <w:gridCol w:w="775"/>
        <w:gridCol w:w="798"/>
        <w:gridCol w:w="1070"/>
        <w:gridCol w:w="1117"/>
      </w:tblGrid>
      <w:tr w14:paraId="24071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0" w:hRule="atLeast"/>
        </w:trPr>
        <w:tc>
          <w:tcPr>
            <w:tcW w:w="351" w:type="pct"/>
            <w:shd w:val="clear" w:color="auto" w:fill="FFFFFF" w:themeFill="background1"/>
            <w:vAlign w:val="center"/>
          </w:tcPr>
          <w:p w14:paraId="0823D6D3">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895" w:type="pct"/>
            <w:shd w:val="clear" w:color="auto" w:fill="FFFFFF" w:themeFill="background1"/>
            <w:vAlign w:val="center"/>
          </w:tcPr>
          <w:p w14:paraId="75FA5001">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1841" w:type="pct"/>
            <w:shd w:val="clear" w:color="auto" w:fill="FFFFFF" w:themeFill="background1"/>
            <w:vAlign w:val="center"/>
          </w:tcPr>
          <w:p w14:paraId="0E4ACCA1">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color w:val="0000FF"/>
                <w:sz w:val="24"/>
                <w:szCs w:val="24"/>
              </w:rPr>
            </w:pPr>
            <w:r>
              <w:rPr>
                <w:rFonts w:hint="eastAsia" w:ascii="宋体" w:hAnsi="宋体" w:eastAsia="宋体" w:cs="宋体"/>
                <w:b/>
                <w:bCs/>
                <w:color w:val="000000" w:themeColor="text1"/>
                <w:kern w:val="0"/>
                <w:sz w:val="24"/>
                <w:szCs w:val="24"/>
                <w14:textFill>
                  <w14:solidFill>
                    <w14:schemeClr w14:val="tx1"/>
                  </w14:solidFill>
                </w14:textFill>
              </w:rPr>
              <w:t>技术规格及参数</w:t>
            </w:r>
          </w:p>
        </w:tc>
        <w:tc>
          <w:tcPr>
            <w:tcW w:w="394" w:type="pct"/>
            <w:shd w:val="clear" w:color="auto" w:fill="FFFFFF" w:themeFill="background1"/>
            <w:vAlign w:val="center"/>
          </w:tcPr>
          <w:p w14:paraId="0602C42C">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数量</w:t>
            </w:r>
          </w:p>
        </w:tc>
        <w:tc>
          <w:tcPr>
            <w:tcW w:w="406" w:type="pct"/>
            <w:shd w:val="clear" w:color="auto" w:fill="FFFFFF" w:themeFill="background1"/>
            <w:vAlign w:val="center"/>
          </w:tcPr>
          <w:p w14:paraId="66CDBD07">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单位</w:t>
            </w:r>
          </w:p>
        </w:tc>
        <w:tc>
          <w:tcPr>
            <w:tcW w:w="542" w:type="pct"/>
            <w:shd w:val="clear" w:color="auto" w:fill="FFFFFF" w:themeFill="background1"/>
            <w:vAlign w:val="center"/>
          </w:tcPr>
          <w:p w14:paraId="05F07313">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单价</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c>
          <w:tcPr>
            <w:tcW w:w="568" w:type="pct"/>
            <w:shd w:val="clear" w:color="auto" w:fill="FFFFFF" w:themeFill="background1"/>
            <w:vAlign w:val="center"/>
          </w:tcPr>
          <w:p w14:paraId="45C2F873">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金额</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r>
      <w:tr w14:paraId="44B8C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30A63AAC">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895" w:type="pct"/>
            <w:shd w:val="clear" w:color="auto" w:fill="auto"/>
            <w:vAlign w:val="center"/>
          </w:tcPr>
          <w:p w14:paraId="6D1C411F">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同屏比对室</w:t>
            </w:r>
          </w:p>
        </w:tc>
        <w:tc>
          <w:tcPr>
            <w:tcW w:w="1841" w:type="pct"/>
            <w:shd w:val="clear" w:color="auto" w:fill="auto"/>
            <w:vAlign w:val="bottom"/>
          </w:tcPr>
          <w:p w14:paraId="517F28E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钢结构、活动板房、门体</w:t>
            </w:r>
          </w:p>
        </w:tc>
        <w:tc>
          <w:tcPr>
            <w:tcW w:w="394" w:type="pct"/>
            <w:shd w:val="clear" w:color="auto" w:fill="auto"/>
            <w:vAlign w:val="center"/>
          </w:tcPr>
          <w:p w14:paraId="1A03011F">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25</w:t>
            </w:r>
          </w:p>
        </w:tc>
        <w:tc>
          <w:tcPr>
            <w:tcW w:w="406" w:type="pct"/>
            <w:shd w:val="clear" w:color="auto" w:fill="auto"/>
            <w:vAlign w:val="center"/>
          </w:tcPr>
          <w:p w14:paraId="3DC347F4">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542" w:type="pct"/>
            <w:shd w:val="clear" w:color="auto" w:fill="auto"/>
            <w:vAlign w:val="center"/>
          </w:tcPr>
          <w:p w14:paraId="6797BB5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0.1372</w:t>
            </w:r>
          </w:p>
        </w:tc>
        <w:tc>
          <w:tcPr>
            <w:tcW w:w="568" w:type="pct"/>
            <w:shd w:val="clear" w:color="auto" w:fill="auto"/>
            <w:vAlign w:val="center"/>
          </w:tcPr>
          <w:p w14:paraId="09A1C99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3.43</w:t>
            </w:r>
          </w:p>
        </w:tc>
      </w:tr>
      <w:tr w14:paraId="69547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39FC4ECB">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895" w:type="pct"/>
            <w:shd w:val="clear" w:color="auto" w:fill="auto"/>
            <w:vAlign w:val="center"/>
          </w:tcPr>
          <w:p w14:paraId="25E0AB00">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开拆室</w:t>
            </w:r>
          </w:p>
        </w:tc>
        <w:tc>
          <w:tcPr>
            <w:tcW w:w="1841" w:type="pct"/>
            <w:shd w:val="clear" w:color="auto" w:fill="auto"/>
            <w:vAlign w:val="bottom"/>
          </w:tcPr>
          <w:p w14:paraId="5694279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钢结构、活动板房、门体</w:t>
            </w:r>
          </w:p>
        </w:tc>
        <w:tc>
          <w:tcPr>
            <w:tcW w:w="394" w:type="pct"/>
            <w:shd w:val="clear" w:color="auto" w:fill="auto"/>
            <w:vAlign w:val="center"/>
          </w:tcPr>
          <w:p w14:paraId="59D5A7B1">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25</w:t>
            </w:r>
          </w:p>
        </w:tc>
        <w:tc>
          <w:tcPr>
            <w:tcW w:w="406" w:type="pct"/>
            <w:shd w:val="clear" w:color="auto" w:fill="auto"/>
            <w:vAlign w:val="center"/>
          </w:tcPr>
          <w:p w14:paraId="6E88885A">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542" w:type="pct"/>
            <w:shd w:val="clear" w:color="auto" w:fill="auto"/>
            <w:vAlign w:val="center"/>
          </w:tcPr>
          <w:p w14:paraId="348C672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0.1372</w:t>
            </w:r>
          </w:p>
        </w:tc>
        <w:tc>
          <w:tcPr>
            <w:tcW w:w="568" w:type="pct"/>
            <w:shd w:val="clear" w:color="auto" w:fill="auto"/>
            <w:vAlign w:val="center"/>
          </w:tcPr>
          <w:p w14:paraId="007F330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3.43</w:t>
            </w:r>
          </w:p>
        </w:tc>
      </w:tr>
      <w:tr w14:paraId="6654E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4A7A1A4D">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895" w:type="pct"/>
            <w:shd w:val="clear" w:color="auto" w:fill="auto"/>
            <w:vAlign w:val="center"/>
          </w:tcPr>
          <w:p w14:paraId="3A8C89A5">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暂扣室</w:t>
            </w:r>
          </w:p>
        </w:tc>
        <w:tc>
          <w:tcPr>
            <w:tcW w:w="1841" w:type="pct"/>
            <w:shd w:val="clear" w:color="auto" w:fill="auto"/>
            <w:vAlign w:val="bottom"/>
          </w:tcPr>
          <w:p w14:paraId="0C92A18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钢结构、活动板房、门体</w:t>
            </w:r>
          </w:p>
        </w:tc>
        <w:tc>
          <w:tcPr>
            <w:tcW w:w="394" w:type="pct"/>
            <w:shd w:val="clear" w:color="auto" w:fill="auto"/>
            <w:vAlign w:val="center"/>
          </w:tcPr>
          <w:p w14:paraId="7AA6670C">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20</w:t>
            </w:r>
          </w:p>
        </w:tc>
        <w:tc>
          <w:tcPr>
            <w:tcW w:w="406" w:type="pct"/>
            <w:shd w:val="clear" w:color="auto" w:fill="auto"/>
            <w:vAlign w:val="center"/>
          </w:tcPr>
          <w:p w14:paraId="37E436C3">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542" w:type="pct"/>
            <w:shd w:val="clear" w:color="auto" w:fill="auto"/>
            <w:vAlign w:val="center"/>
          </w:tcPr>
          <w:p w14:paraId="5BE3DDB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0.1372</w:t>
            </w:r>
          </w:p>
        </w:tc>
        <w:tc>
          <w:tcPr>
            <w:tcW w:w="568" w:type="pct"/>
            <w:shd w:val="clear" w:color="auto" w:fill="auto"/>
            <w:vAlign w:val="center"/>
          </w:tcPr>
          <w:p w14:paraId="2D11E1E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2.744</w:t>
            </w:r>
          </w:p>
        </w:tc>
      </w:tr>
      <w:tr w14:paraId="78EEF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29E83043">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895" w:type="pct"/>
            <w:shd w:val="clear" w:color="auto" w:fill="auto"/>
            <w:vAlign w:val="center"/>
          </w:tcPr>
          <w:p w14:paraId="74BA9C9F">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机房</w:t>
            </w:r>
          </w:p>
        </w:tc>
        <w:tc>
          <w:tcPr>
            <w:tcW w:w="1841" w:type="pct"/>
            <w:shd w:val="clear" w:color="auto" w:fill="auto"/>
            <w:vAlign w:val="bottom"/>
          </w:tcPr>
          <w:p w14:paraId="2F69140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机房独立的门、防静电地板、防雷接地、空调</w:t>
            </w:r>
          </w:p>
        </w:tc>
        <w:tc>
          <w:tcPr>
            <w:tcW w:w="394" w:type="pct"/>
            <w:shd w:val="clear" w:color="auto" w:fill="auto"/>
            <w:vAlign w:val="center"/>
          </w:tcPr>
          <w:p w14:paraId="296F2279">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15</w:t>
            </w:r>
          </w:p>
        </w:tc>
        <w:tc>
          <w:tcPr>
            <w:tcW w:w="406" w:type="pct"/>
            <w:shd w:val="clear" w:color="auto" w:fill="auto"/>
            <w:vAlign w:val="center"/>
          </w:tcPr>
          <w:p w14:paraId="3E5B2694">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542" w:type="pct"/>
            <w:shd w:val="clear" w:color="auto" w:fill="auto"/>
            <w:vAlign w:val="center"/>
          </w:tcPr>
          <w:p w14:paraId="3BCF971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0.1372</w:t>
            </w:r>
          </w:p>
        </w:tc>
        <w:tc>
          <w:tcPr>
            <w:tcW w:w="568" w:type="pct"/>
            <w:shd w:val="clear" w:color="auto" w:fill="auto"/>
            <w:vAlign w:val="center"/>
          </w:tcPr>
          <w:p w14:paraId="79FFECE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2.058</w:t>
            </w:r>
          </w:p>
        </w:tc>
      </w:tr>
      <w:tr w14:paraId="74565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6ABE11A1">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895" w:type="pct"/>
            <w:shd w:val="clear" w:color="auto" w:fill="auto"/>
            <w:vAlign w:val="center"/>
          </w:tcPr>
          <w:p w14:paraId="7F685BAD">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围网</w:t>
            </w:r>
          </w:p>
        </w:tc>
        <w:tc>
          <w:tcPr>
            <w:tcW w:w="1841" w:type="pct"/>
            <w:shd w:val="clear" w:color="auto" w:fill="auto"/>
            <w:vAlign w:val="center"/>
          </w:tcPr>
          <w:p w14:paraId="276700AF">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eastAsia="宋体" w:cs="宋体"/>
                <w:color w:val="000000" w:themeColor="text1"/>
                <w:sz w:val="24"/>
                <w:szCs w:val="24"/>
                <w:lang w:val="en-US" w:eastAsia="zh-CN"/>
                <w14:textFill>
                  <w14:solidFill>
                    <w14:schemeClr w14:val="tx1"/>
                  </w14:solidFill>
                </w14:textFill>
              </w:rPr>
              <w:t>高不小于2.5米，孔径不小于80cm</w:t>
            </w:r>
          </w:p>
        </w:tc>
        <w:tc>
          <w:tcPr>
            <w:tcW w:w="394" w:type="pct"/>
            <w:shd w:val="clear" w:color="auto" w:fill="auto"/>
            <w:vAlign w:val="center"/>
          </w:tcPr>
          <w:p w14:paraId="331F7494">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280</w:t>
            </w:r>
          </w:p>
        </w:tc>
        <w:tc>
          <w:tcPr>
            <w:tcW w:w="406" w:type="pct"/>
            <w:shd w:val="clear" w:color="auto" w:fill="auto"/>
            <w:vAlign w:val="center"/>
          </w:tcPr>
          <w:p w14:paraId="5253AC81">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w:t>
            </w:r>
          </w:p>
        </w:tc>
        <w:tc>
          <w:tcPr>
            <w:tcW w:w="542" w:type="pct"/>
            <w:shd w:val="clear" w:color="auto" w:fill="auto"/>
            <w:vAlign w:val="center"/>
          </w:tcPr>
          <w:p w14:paraId="6C04B2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0.0245</w:t>
            </w:r>
          </w:p>
        </w:tc>
        <w:tc>
          <w:tcPr>
            <w:tcW w:w="568" w:type="pct"/>
            <w:shd w:val="clear" w:color="auto" w:fill="auto"/>
            <w:vAlign w:val="center"/>
          </w:tcPr>
          <w:p w14:paraId="502968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6.86</w:t>
            </w:r>
          </w:p>
        </w:tc>
      </w:tr>
      <w:tr w14:paraId="3B078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351" w:type="pct"/>
            <w:shd w:val="clear" w:color="auto" w:fill="auto"/>
            <w:vAlign w:val="center"/>
          </w:tcPr>
          <w:p w14:paraId="3AED831A">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895" w:type="pct"/>
            <w:shd w:val="clear" w:color="auto" w:fill="auto"/>
            <w:vAlign w:val="center"/>
          </w:tcPr>
          <w:p w14:paraId="51FFBE0C">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水、电等及杂费</w:t>
            </w:r>
          </w:p>
        </w:tc>
        <w:tc>
          <w:tcPr>
            <w:tcW w:w="1841" w:type="pct"/>
            <w:shd w:val="clear" w:color="auto" w:fill="auto"/>
            <w:vAlign w:val="center"/>
          </w:tcPr>
          <w:p w14:paraId="4B772CBE">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color w:val="0000FF"/>
                <w:sz w:val="24"/>
                <w:szCs w:val="24"/>
              </w:rPr>
            </w:pPr>
          </w:p>
        </w:tc>
        <w:tc>
          <w:tcPr>
            <w:tcW w:w="394" w:type="pct"/>
            <w:shd w:val="clear" w:color="auto" w:fill="auto"/>
            <w:vAlign w:val="center"/>
          </w:tcPr>
          <w:p w14:paraId="04B45127">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406" w:type="pct"/>
            <w:shd w:val="clear" w:color="auto" w:fill="auto"/>
            <w:vAlign w:val="center"/>
          </w:tcPr>
          <w:p w14:paraId="1716350A">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项</w:t>
            </w:r>
          </w:p>
        </w:tc>
        <w:tc>
          <w:tcPr>
            <w:tcW w:w="542" w:type="pct"/>
            <w:shd w:val="clear" w:color="auto" w:fill="auto"/>
            <w:vAlign w:val="center"/>
          </w:tcPr>
          <w:p w14:paraId="666BC80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7.35</w:t>
            </w:r>
          </w:p>
        </w:tc>
        <w:tc>
          <w:tcPr>
            <w:tcW w:w="568" w:type="pct"/>
            <w:shd w:val="clear" w:color="auto" w:fill="auto"/>
            <w:vAlign w:val="center"/>
          </w:tcPr>
          <w:p w14:paraId="15947003">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7.35</w:t>
            </w:r>
          </w:p>
        </w:tc>
      </w:tr>
      <w:tr w14:paraId="5A1F8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30" w:hRule="atLeast"/>
        </w:trPr>
        <w:tc>
          <w:tcPr>
            <w:tcW w:w="4431" w:type="pct"/>
            <w:gridSpan w:val="6"/>
            <w:shd w:val="clear" w:color="auto" w:fill="auto"/>
            <w:vAlign w:val="center"/>
          </w:tcPr>
          <w:p w14:paraId="12B95C67">
            <w:pPr>
              <w:pStyle w:val="34"/>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textAlignment w:val="auto"/>
              <w:rPr>
                <w:rFonts w:hint="eastAsia" w:ascii="宋体" w:hAnsi="宋体" w:eastAsia="宋体" w:cs="宋体"/>
                <w:sz w:val="24"/>
                <w:szCs w:val="24"/>
                <w:lang w:val="en-US" w:eastAsia="zh-CN"/>
              </w:rPr>
            </w:pPr>
            <w:r>
              <w:rPr>
                <w:rFonts w:hint="eastAsia" w:eastAsia="宋体" w:cs="宋体"/>
                <w:sz w:val="24"/>
                <w:szCs w:val="24"/>
                <w:lang w:val="en-US" w:eastAsia="zh-CN"/>
              </w:rPr>
              <w:t>小计</w:t>
            </w:r>
            <w:r>
              <w:rPr>
                <w:rFonts w:hint="eastAsia" w:ascii="宋体" w:hAnsi="宋体" w:eastAsia="宋体" w:cs="宋体"/>
                <w:sz w:val="24"/>
                <w:szCs w:val="24"/>
                <w:lang w:val="en-US" w:eastAsia="zh-CN"/>
              </w:rPr>
              <w:t>（万元）</w:t>
            </w:r>
          </w:p>
        </w:tc>
        <w:tc>
          <w:tcPr>
            <w:tcW w:w="568" w:type="pct"/>
            <w:shd w:val="clear" w:color="auto" w:fill="auto"/>
            <w:vAlign w:val="center"/>
          </w:tcPr>
          <w:p w14:paraId="60902B4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25.872</w:t>
            </w:r>
          </w:p>
        </w:tc>
      </w:tr>
    </w:tbl>
    <w:p w14:paraId="26C10B4E">
      <w:pPr>
        <w:keepNext w:val="0"/>
        <w:keepLines w:val="0"/>
        <w:pageBreakBefore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4.12场站配套硬件及网络</w:t>
      </w:r>
    </w:p>
    <w:tbl>
      <w:tblPr>
        <w:tblStyle w:val="17"/>
        <w:tblW w:w="493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19"/>
        <w:gridCol w:w="2064"/>
        <w:gridCol w:w="3393"/>
        <w:gridCol w:w="775"/>
        <w:gridCol w:w="800"/>
        <w:gridCol w:w="1075"/>
        <w:gridCol w:w="1100"/>
      </w:tblGrid>
      <w:tr w14:paraId="73A8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FFFFFF" w:themeFill="background1"/>
            <w:vAlign w:val="center"/>
          </w:tcPr>
          <w:p w14:paraId="3EDA649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序号</w:t>
            </w:r>
          </w:p>
        </w:tc>
        <w:tc>
          <w:tcPr>
            <w:tcW w:w="1050" w:type="pct"/>
            <w:shd w:val="clear" w:color="auto" w:fill="FFFFFF" w:themeFill="background1"/>
            <w:vAlign w:val="center"/>
          </w:tcPr>
          <w:p w14:paraId="29C2396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一级功能</w:t>
            </w:r>
          </w:p>
        </w:tc>
        <w:tc>
          <w:tcPr>
            <w:tcW w:w="1726" w:type="pct"/>
            <w:shd w:val="clear" w:color="auto" w:fill="FFFFFF" w:themeFill="background1"/>
            <w:vAlign w:val="center"/>
          </w:tcPr>
          <w:p w14:paraId="527F6A5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color w:val="000000"/>
                <w:kern w:val="0"/>
                <w:sz w:val="24"/>
                <w:szCs w:val="24"/>
              </w:rPr>
              <w:t>技术规格及参数</w:t>
            </w:r>
          </w:p>
        </w:tc>
        <w:tc>
          <w:tcPr>
            <w:tcW w:w="394" w:type="pct"/>
            <w:shd w:val="clear" w:color="auto" w:fill="FFFFFF" w:themeFill="background1"/>
            <w:vAlign w:val="center"/>
          </w:tcPr>
          <w:p w14:paraId="158F9AC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b/>
                <w:bCs/>
                <w:kern w:val="2"/>
                <w:sz w:val="24"/>
                <w:szCs w:val="24"/>
                <w:lang w:val="en-US" w:eastAsia="zh-CN" w:bidi="ar-SA"/>
              </w:rPr>
            </w:pPr>
            <w:r>
              <w:rPr>
                <w:rFonts w:hint="eastAsia" w:ascii="宋体" w:hAnsi="宋体" w:eastAsia="宋体" w:cs="宋体"/>
                <w:b/>
                <w:bCs/>
                <w:sz w:val="24"/>
                <w:szCs w:val="24"/>
                <w:lang w:val="en-US" w:eastAsia="zh-CN"/>
              </w:rPr>
              <w:t>数量</w:t>
            </w:r>
          </w:p>
        </w:tc>
        <w:tc>
          <w:tcPr>
            <w:tcW w:w="407" w:type="pct"/>
            <w:shd w:val="clear" w:color="auto" w:fill="FFFFFF" w:themeFill="background1"/>
            <w:vAlign w:val="center"/>
          </w:tcPr>
          <w:p w14:paraId="7735B03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单位</w:t>
            </w:r>
          </w:p>
        </w:tc>
        <w:tc>
          <w:tcPr>
            <w:tcW w:w="547" w:type="pct"/>
            <w:shd w:val="clear" w:color="auto" w:fill="FFFFFF" w:themeFill="background1"/>
            <w:vAlign w:val="center"/>
          </w:tcPr>
          <w:p w14:paraId="021B459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单价</w:t>
            </w:r>
          </w:p>
          <w:p w14:paraId="511CD44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（万元）</w:t>
            </w:r>
          </w:p>
        </w:tc>
        <w:tc>
          <w:tcPr>
            <w:tcW w:w="559" w:type="pct"/>
            <w:shd w:val="clear" w:color="auto" w:fill="FFFFFF" w:themeFill="background1"/>
            <w:vAlign w:val="center"/>
          </w:tcPr>
          <w:p w14:paraId="4F0B939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b/>
                <w:bCs/>
                <w:sz w:val="24"/>
                <w:szCs w:val="24"/>
              </w:rPr>
            </w:pPr>
            <w:r>
              <w:rPr>
                <w:rFonts w:hint="eastAsia" w:ascii="宋体" w:hAnsi="宋体" w:eastAsia="宋体" w:cs="宋体"/>
                <w:b/>
                <w:bCs/>
                <w:sz w:val="24"/>
                <w:szCs w:val="24"/>
                <w:lang w:val="en-US" w:eastAsia="zh-CN"/>
              </w:rPr>
              <w:t>金额</w:t>
            </w:r>
            <w:r>
              <w:rPr>
                <w:rFonts w:hint="eastAsia" w:ascii="宋体" w:hAnsi="宋体" w:eastAsia="宋体" w:cs="宋体"/>
                <w:b/>
                <w:bCs/>
                <w:sz w:val="24"/>
                <w:szCs w:val="24"/>
                <w:lang w:val="en-US" w:eastAsia="zh-CN"/>
              </w:rPr>
              <w:br w:type="textWrapping"/>
            </w:r>
            <w:r>
              <w:rPr>
                <w:rFonts w:hint="eastAsia" w:ascii="宋体" w:hAnsi="宋体" w:eastAsia="宋体" w:cs="宋体"/>
                <w:b/>
                <w:bCs/>
                <w:sz w:val="24"/>
                <w:szCs w:val="24"/>
                <w:lang w:val="en-US" w:eastAsia="zh-CN"/>
              </w:rPr>
              <w:t>（万元）</w:t>
            </w:r>
          </w:p>
        </w:tc>
      </w:tr>
      <w:tr w14:paraId="264A7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457A9A7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1</w:t>
            </w:r>
          </w:p>
        </w:tc>
        <w:tc>
          <w:tcPr>
            <w:tcW w:w="1050" w:type="pct"/>
            <w:shd w:val="clear" w:color="auto" w:fill="auto"/>
            <w:vAlign w:val="center"/>
          </w:tcPr>
          <w:p w14:paraId="4659BD4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申报服务器</w:t>
            </w:r>
          </w:p>
        </w:tc>
        <w:tc>
          <w:tcPr>
            <w:tcW w:w="1726" w:type="pct"/>
            <w:shd w:val="clear" w:color="auto" w:fill="auto"/>
            <w:vAlign w:val="center"/>
          </w:tcPr>
          <w:p w14:paraId="02E70B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rPr>
              <w:t>2U 机架式服务器</w:t>
            </w:r>
          </w:p>
          <w:p w14:paraId="236E5E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CPU个数≥1</w:t>
            </w:r>
          </w:p>
          <w:p w14:paraId="4532C8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服务器专用CPU：核心数≥10，主频≥</w:t>
            </w:r>
            <w:r>
              <w:rPr>
                <w:rFonts w:hint="eastAsia" w:ascii="宋体" w:hAnsi="宋体" w:eastAsia="宋体" w:cs="宋体"/>
                <w:sz w:val="24"/>
                <w:szCs w:val="24"/>
                <w:highlight w:val="none"/>
              </w:rPr>
              <w:t>2.4G</w:t>
            </w:r>
            <w:r>
              <w:rPr>
                <w:rFonts w:hint="eastAsia" w:ascii="宋体" w:hAnsi="宋体" w:eastAsia="宋体" w:cs="宋体"/>
                <w:sz w:val="24"/>
                <w:szCs w:val="24"/>
                <w:highlight w:val="none"/>
                <w:lang w:eastAsia="zh-CN"/>
              </w:rPr>
              <w:t>，</w:t>
            </w:r>
            <w:r>
              <w:rPr>
                <w:rFonts w:hint="eastAsia" w:ascii="宋体" w:hAnsi="宋体" w:eastAsia="宋体" w:cs="宋体"/>
                <w:sz w:val="24"/>
                <w:szCs w:val="24"/>
                <w:lang w:val="en-US" w:eastAsia="zh-CN"/>
              </w:rPr>
              <w:t>制作工艺10纳米以下</w:t>
            </w:r>
          </w:p>
          <w:p w14:paraId="488075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内存：代数≥</w:t>
            </w:r>
            <w:r>
              <w:rPr>
                <w:rFonts w:hint="eastAsia" w:ascii="宋体" w:hAnsi="宋体" w:eastAsia="宋体" w:cs="宋体"/>
                <w:sz w:val="24"/>
                <w:szCs w:val="24"/>
                <w:highlight w:val="none"/>
              </w:rPr>
              <w:t>DDR4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容量≥</w:t>
            </w:r>
            <w:r>
              <w:rPr>
                <w:rFonts w:hint="eastAsia" w:ascii="宋体" w:hAnsi="宋体" w:eastAsia="宋体" w:cs="宋体"/>
                <w:sz w:val="24"/>
                <w:szCs w:val="24"/>
                <w:highlight w:val="none"/>
              </w:rPr>
              <w:t>64G</w:t>
            </w:r>
          </w:p>
          <w:p w14:paraId="71B19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硬盘：容量≥2</w:t>
            </w:r>
            <w:r>
              <w:rPr>
                <w:rFonts w:hint="eastAsia" w:ascii="宋体" w:hAnsi="宋体" w:eastAsia="宋体" w:cs="宋体"/>
                <w:sz w:val="24"/>
                <w:szCs w:val="24"/>
                <w:highlight w:val="none"/>
              </w:rPr>
              <w:t xml:space="preserve">*1.2T </w:t>
            </w:r>
          </w:p>
          <w:p w14:paraId="66996A7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highlight w:val="none"/>
                <w:lang w:val="en-US" w:eastAsia="zh-CN"/>
              </w:rPr>
              <w:t>预装Windows操作系统</w:t>
            </w:r>
          </w:p>
        </w:tc>
        <w:tc>
          <w:tcPr>
            <w:tcW w:w="394" w:type="pct"/>
            <w:shd w:val="clear" w:color="auto" w:fill="auto"/>
            <w:vAlign w:val="center"/>
          </w:tcPr>
          <w:p w14:paraId="213C957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063C0BD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7E76452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c>
          <w:tcPr>
            <w:tcW w:w="559" w:type="pct"/>
            <w:shd w:val="clear" w:color="auto" w:fill="auto"/>
            <w:vAlign w:val="center"/>
          </w:tcPr>
          <w:p w14:paraId="59305E1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1.96</w:t>
            </w:r>
          </w:p>
        </w:tc>
      </w:tr>
      <w:tr w14:paraId="5B75D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3813988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2</w:t>
            </w:r>
          </w:p>
        </w:tc>
        <w:tc>
          <w:tcPr>
            <w:tcW w:w="1050" w:type="pct"/>
            <w:shd w:val="clear" w:color="auto" w:fill="auto"/>
            <w:vAlign w:val="center"/>
          </w:tcPr>
          <w:p w14:paraId="53B28FF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加密机</w:t>
            </w:r>
          </w:p>
        </w:tc>
        <w:tc>
          <w:tcPr>
            <w:tcW w:w="1726" w:type="pct"/>
            <w:shd w:val="clear" w:color="auto" w:fill="auto"/>
            <w:vAlign w:val="center"/>
          </w:tcPr>
          <w:p w14:paraId="21A1A30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1.产品资质</w:t>
            </w:r>
          </w:p>
          <w:p w14:paraId="7103B8D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具备《商用密码产品认证证书》；产品符合GM/T0018 《密码模块安全技术要求》第二级要求</w:t>
            </w:r>
          </w:p>
          <w:p w14:paraId="55DCCB2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具备《中国国家强制性产品认证证书》</w:t>
            </w:r>
          </w:p>
          <w:p w14:paraId="180D7C8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2.设备形态</w:t>
            </w:r>
          </w:p>
          <w:p w14:paraId="5A379DB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2U机架式设备。</w:t>
            </w:r>
          </w:p>
          <w:p w14:paraId="517C768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3.硬件要求</w:t>
            </w:r>
          </w:p>
          <w:p w14:paraId="4BC2F57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冗余电源，支持交直流电源输入至少提供2个网络端口</w:t>
            </w:r>
          </w:p>
          <w:p w14:paraId="462C218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4.算法支持</w:t>
            </w:r>
          </w:p>
          <w:p w14:paraId="66836C7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支持256位SM2公钥密码算法。</w:t>
            </w:r>
            <w:r>
              <w:rPr>
                <w:rFonts w:hint="eastAsia" w:ascii="宋体" w:hAnsi="宋体" w:eastAsia="宋体" w:cs="宋体"/>
                <w:b/>
                <w:bCs/>
                <w:sz w:val="24"/>
                <w:szCs w:val="24"/>
                <w:lang w:val="en-US" w:eastAsia="zh-CN"/>
              </w:rPr>
              <w:t>（评标项</w:t>
            </w:r>
            <w:r>
              <w:rPr>
                <w:rFonts w:hint="eastAsia" w:eastAsia="宋体" w:cs="宋体"/>
                <w:b/>
                <w:bCs/>
                <w:sz w:val="24"/>
                <w:szCs w:val="24"/>
                <w:lang w:val="en-US" w:eastAsia="zh-CN"/>
              </w:rPr>
              <w:t>27</w:t>
            </w:r>
            <w:r>
              <w:rPr>
                <w:rFonts w:hint="eastAsia" w:ascii="宋体" w:hAnsi="宋体" w:eastAsia="宋体" w:cs="宋体"/>
                <w:b/>
                <w:bCs/>
                <w:sz w:val="24"/>
                <w:szCs w:val="24"/>
                <w:lang w:val="en-US" w:eastAsia="zh-CN"/>
              </w:rPr>
              <w:t>）</w:t>
            </w:r>
          </w:p>
          <w:p w14:paraId="1436910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可扩展支持SM9标识密码算法。</w:t>
            </w:r>
            <w:r>
              <w:rPr>
                <w:rFonts w:hint="eastAsia" w:ascii="宋体" w:hAnsi="宋体" w:eastAsia="宋体" w:cs="宋体"/>
                <w:b/>
                <w:bCs/>
                <w:sz w:val="24"/>
                <w:szCs w:val="24"/>
                <w:lang w:val="en-US" w:eastAsia="zh-CN"/>
              </w:rPr>
              <w:t>（评标项</w:t>
            </w:r>
            <w:r>
              <w:rPr>
                <w:rFonts w:hint="eastAsia" w:eastAsia="宋体" w:cs="宋体"/>
                <w:b/>
                <w:bCs/>
                <w:sz w:val="24"/>
                <w:szCs w:val="24"/>
                <w:lang w:val="en-US" w:eastAsia="zh-CN"/>
              </w:rPr>
              <w:t>28</w:t>
            </w:r>
            <w:r>
              <w:rPr>
                <w:rFonts w:hint="eastAsia" w:ascii="宋体" w:hAnsi="宋体" w:eastAsia="宋体" w:cs="宋体"/>
                <w:b/>
                <w:bCs/>
                <w:sz w:val="24"/>
                <w:szCs w:val="24"/>
                <w:lang w:val="en-US" w:eastAsia="zh-CN"/>
              </w:rPr>
              <w:t>）</w:t>
            </w:r>
          </w:p>
          <w:p w14:paraId="1D0CC69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支持1024-4096位的RSA公钥密码算法。</w:t>
            </w:r>
          </w:p>
          <w:p w14:paraId="02BB678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可扩展支持DSA公钥密码算法。</w:t>
            </w:r>
          </w:p>
          <w:p w14:paraId="03BBAFB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可扩展支持国际ECC公钥密码算法。</w:t>
            </w:r>
          </w:p>
          <w:p w14:paraId="32BB667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支持SM1、SM4等国密对称密码算法。</w:t>
            </w:r>
            <w:r>
              <w:rPr>
                <w:rFonts w:hint="eastAsia" w:ascii="宋体" w:hAnsi="宋体" w:eastAsia="宋体" w:cs="宋体"/>
                <w:b/>
                <w:bCs/>
                <w:sz w:val="24"/>
                <w:szCs w:val="24"/>
                <w:lang w:val="en-US" w:eastAsia="zh-CN"/>
              </w:rPr>
              <w:t>（评标项</w:t>
            </w:r>
            <w:r>
              <w:rPr>
                <w:rFonts w:hint="eastAsia" w:eastAsia="宋体" w:cs="宋体"/>
                <w:b/>
                <w:bCs/>
                <w:sz w:val="24"/>
                <w:szCs w:val="24"/>
                <w:lang w:val="en-US" w:eastAsia="zh-CN"/>
              </w:rPr>
              <w:t>29</w:t>
            </w:r>
            <w:r>
              <w:rPr>
                <w:rFonts w:hint="eastAsia" w:ascii="宋体" w:hAnsi="宋体" w:eastAsia="宋体" w:cs="宋体"/>
                <w:b/>
                <w:bCs/>
                <w:sz w:val="24"/>
                <w:szCs w:val="24"/>
                <w:lang w:val="en-US" w:eastAsia="zh-CN"/>
              </w:rPr>
              <w:t>）</w:t>
            </w:r>
          </w:p>
          <w:p w14:paraId="7786C70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可扩展支持国际SM7国密对称密码算法</w:t>
            </w:r>
            <w:r>
              <w:rPr>
                <w:rFonts w:hint="eastAsia" w:ascii="宋体" w:hAnsi="宋体" w:eastAsia="宋体" w:cs="宋体"/>
                <w:b/>
                <w:bCs/>
                <w:sz w:val="24"/>
                <w:szCs w:val="24"/>
                <w:lang w:val="en-US" w:eastAsia="zh-CN"/>
              </w:rPr>
              <w:t>（评标项</w:t>
            </w:r>
            <w:r>
              <w:rPr>
                <w:rFonts w:hint="eastAsia" w:eastAsia="宋体" w:cs="宋体"/>
                <w:b/>
                <w:bCs/>
                <w:sz w:val="24"/>
                <w:szCs w:val="24"/>
                <w:lang w:val="en-US" w:eastAsia="zh-CN"/>
              </w:rPr>
              <w:t>30</w:t>
            </w:r>
            <w:r>
              <w:rPr>
                <w:rFonts w:hint="eastAsia" w:ascii="宋体" w:hAnsi="宋体" w:eastAsia="宋体" w:cs="宋体"/>
                <w:b/>
                <w:bCs/>
                <w:sz w:val="24"/>
                <w:szCs w:val="24"/>
                <w:lang w:val="en-US" w:eastAsia="zh-CN"/>
              </w:rPr>
              <w:t>）</w:t>
            </w:r>
          </w:p>
          <w:p w14:paraId="3AABB9B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支持AES、DES/3DES等国际对称密码算法。</w:t>
            </w:r>
          </w:p>
          <w:p w14:paraId="29D2883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支持SM3国密摘要算法。</w:t>
            </w:r>
            <w:r>
              <w:rPr>
                <w:rFonts w:hint="eastAsia" w:ascii="宋体" w:hAnsi="宋体" w:eastAsia="宋体" w:cs="宋体"/>
                <w:b/>
                <w:bCs/>
                <w:sz w:val="24"/>
                <w:szCs w:val="24"/>
                <w:lang w:val="en-US" w:eastAsia="zh-CN"/>
              </w:rPr>
              <w:t>（评标项</w:t>
            </w:r>
            <w:r>
              <w:rPr>
                <w:rFonts w:hint="eastAsia" w:eastAsia="宋体" w:cs="宋体"/>
                <w:b/>
                <w:bCs/>
                <w:sz w:val="24"/>
                <w:szCs w:val="24"/>
                <w:lang w:val="en-US" w:eastAsia="zh-CN"/>
              </w:rPr>
              <w:t>31</w:t>
            </w:r>
            <w:r>
              <w:rPr>
                <w:rFonts w:hint="eastAsia" w:ascii="宋体" w:hAnsi="宋体" w:eastAsia="宋体" w:cs="宋体"/>
                <w:b/>
                <w:bCs/>
                <w:sz w:val="24"/>
                <w:szCs w:val="24"/>
                <w:lang w:val="en-US" w:eastAsia="zh-CN"/>
              </w:rPr>
              <w:t>）</w:t>
            </w:r>
          </w:p>
          <w:p w14:paraId="5C786A1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支持SHA1/SHA2国际摘要算法。</w:t>
            </w:r>
          </w:p>
          <w:p w14:paraId="64AB7E9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5.功能要求</w:t>
            </w:r>
          </w:p>
          <w:p w14:paraId="0D35F20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密钥存储：密码机内可安全存储各种类型的非对称密钥对、对称密钥；</w:t>
            </w:r>
          </w:p>
          <w:p w14:paraId="6A09034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密钥生成：密码机可提供各类型非对称密钥、对称密钥的生成功能；</w:t>
            </w:r>
          </w:p>
          <w:p w14:paraId="0D24E6B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对称加解密：</w:t>
            </w:r>
          </w:p>
          <w:p w14:paraId="29503CA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密码机可支持基于SM1、SM4、SM7、DES/3DES、AES等算法的加解密功能，算法模式支持ECB/CBC/OFB/CFB/CTR/XTS/GCM/CCM等；</w:t>
            </w:r>
          </w:p>
          <w:p w14:paraId="5BF7E7C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密码机可支持ZUC流密码算法；</w:t>
            </w:r>
          </w:p>
          <w:p w14:paraId="6C72A05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非对称密码运算：</w:t>
            </w:r>
          </w:p>
          <w:p w14:paraId="63D6B8B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密码机支持SM2算法的数据签名、验证签名运算；</w:t>
            </w:r>
          </w:p>
          <w:p w14:paraId="2083B14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密码机支持SM2算法的数据加密、解密运算；</w:t>
            </w:r>
          </w:p>
          <w:p w14:paraId="37C3CC2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密码机支持SM2算法的密钥协商运算；</w:t>
            </w:r>
          </w:p>
          <w:p w14:paraId="02D02A7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密码机支持RSA算法的公钥运算、私钥运算；</w:t>
            </w:r>
          </w:p>
          <w:p w14:paraId="393867B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密码机可扩展支持DSA算法的数据签名、验证签名运算；</w:t>
            </w:r>
          </w:p>
          <w:p w14:paraId="4CFF974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密码机可扩展支持ECDSA算法的数据签名、验证签名运算；</w:t>
            </w:r>
          </w:p>
          <w:p w14:paraId="3CBFA01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密码机可扩展支持SM9算法的数据签名、验证签名运算；</w:t>
            </w:r>
          </w:p>
          <w:p w14:paraId="33DB22A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密码机可扩展支持SM9算法的数据加密、解密运算；</w:t>
            </w:r>
          </w:p>
          <w:p w14:paraId="35D4EE2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数据摘要：</w:t>
            </w:r>
          </w:p>
          <w:p w14:paraId="22AF105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密码机支持SM3算法的数据摘要；</w:t>
            </w:r>
          </w:p>
          <w:p w14:paraId="00D1966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密码机支持SHA1、SHA2算法的数据摘要；</w:t>
            </w:r>
          </w:p>
          <w:p w14:paraId="06368E5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消息鉴别码的产生及验证：</w:t>
            </w:r>
          </w:p>
          <w:p w14:paraId="20C0D16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密码机支持基于SM1、SM4、SM7、DES/3DES、AES等算法的CBC-MAC、CMAC的产生及验证</w:t>
            </w:r>
          </w:p>
          <w:p w14:paraId="125212E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消息认证码的产生：</w:t>
            </w:r>
          </w:p>
          <w:p w14:paraId="27645C4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密码机可提供基于SM3、SHA1/SHA2等算法的HMAC的产生及验证；</w:t>
            </w:r>
          </w:p>
          <w:p w14:paraId="6733D1B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随机数生成：</w:t>
            </w:r>
          </w:p>
          <w:p w14:paraId="276D917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密码机可提供基于双WNG8物理随机源的随机数生成功能；</w:t>
            </w:r>
          </w:p>
          <w:p w14:paraId="7DE267A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密码机支持集群部署，并支持多机负载；</w:t>
            </w:r>
          </w:p>
          <w:p w14:paraId="2B1D6F9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标准接口：</w:t>
            </w:r>
          </w:p>
          <w:p w14:paraId="7869F1C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支持基于GM/T 0018《密码设备应用接口规范》标准封装的SDK开发包；</w:t>
            </w:r>
          </w:p>
          <w:p w14:paraId="48A646A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支持海关总署跨境统一版开发部署包；</w:t>
            </w:r>
          </w:p>
          <w:p w14:paraId="3CE3857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支持PKCS#11、JCE标准接口；</w:t>
            </w:r>
          </w:p>
          <w:p w14:paraId="578C5B3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安全功能要求</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密钥生成时采用由内部的密码卡的物理噪声源芯片生成的随机数，密钥生成后由密码卡中的保护密钥加密后存储。</w:t>
            </w:r>
          </w:p>
          <w:p w14:paraId="3C3E095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支持密钥的生成、存储、恢复、销毁等生命周期管理操作，通过管理控制台集中管理密钥整个生命周期。</w:t>
            </w:r>
          </w:p>
          <w:p w14:paraId="39C9FA2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支持对密钥及系统配置等重要数据的备份/恢复机制，系统管理员可方便的在管理控制台完成系统备份操作，可下载到本地进行妥善保存。</w:t>
            </w:r>
          </w:p>
          <w:p w14:paraId="5550081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支持基于https实现远程管理和配置。</w:t>
            </w:r>
          </w:p>
          <w:p w14:paraId="2D661D7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支持基于SM2、RSA算法的安全通道接入密码机的密码服务。</w:t>
            </w:r>
          </w:p>
          <w:p w14:paraId="78A115F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管理功能要求</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支持权限管理：支持根据三权分立原则划分用户角色及权限，包括管理员、审计员、操作员。</w:t>
            </w:r>
          </w:p>
          <w:p w14:paraId="0366B05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支持授权访问：具有服务访问白名单设置功能。</w:t>
            </w:r>
          </w:p>
          <w:p w14:paraId="746A059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支持所有的关键操作均记录日志，可对密码机所有的操作进行查询和审计。</w:t>
            </w:r>
          </w:p>
          <w:p w14:paraId="23F4867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支持syslog服务，可将业务日志外送至日志服务器。</w:t>
            </w:r>
          </w:p>
          <w:p w14:paraId="5FE9253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支持标准SNMP协议，可通过SNMP标准协议监控密码机的运行状态。</w:t>
            </w:r>
          </w:p>
          <w:p w14:paraId="4D11981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支持配置系统网络、系统时间、白名单等。</w:t>
            </w:r>
          </w:p>
          <w:p w14:paraId="09FC76D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6.性能要求</w:t>
            </w:r>
          </w:p>
          <w:p w14:paraId="7A84E91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密钥存储：</w:t>
            </w:r>
          </w:p>
          <w:p w14:paraId="0FBD760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SM2密钥对支持1024对</w:t>
            </w:r>
          </w:p>
          <w:p w14:paraId="38629A7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RSA密钥对支持1024对</w:t>
            </w:r>
          </w:p>
          <w:p w14:paraId="4E74527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对称密钥支持2048个</w:t>
            </w:r>
          </w:p>
          <w:p w14:paraId="1C3B285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SM2密钥生成：</w:t>
            </w:r>
          </w:p>
          <w:p w14:paraId="35D1E71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≥80000对/秒；</w:t>
            </w:r>
          </w:p>
          <w:p w14:paraId="57DA6C4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SM2签名/验签：</w:t>
            </w:r>
          </w:p>
          <w:p w14:paraId="7A140D1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≥80000/30000次/秒；</w:t>
            </w:r>
          </w:p>
          <w:p w14:paraId="44824BB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SM2加密/解密：</w:t>
            </w:r>
          </w:p>
          <w:p w14:paraId="18733F1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≥10000/25000次/秒；</w:t>
            </w:r>
          </w:p>
          <w:p w14:paraId="3210C89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1024位RSA密钥生成：</w:t>
            </w:r>
          </w:p>
          <w:p w14:paraId="126B668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≥200对/秒 ；</w:t>
            </w:r>
          </w:p>
          <w:p w14:paraId="64BBCAF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2048位RSA密钥生成：</w:t>
            </w:r>
          </w:p>
          <w:p w14:paraId="5D43675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≥30对/秒；</w:t>
            </w:r>
          </w:p>
          <w:p w14:paraId="32B6E9B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1024位RSA签名/验签：</w:t>
            </w:r>
          </w:p>
          <w:p w14:paraId="6FDD217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≥7500/75000次/秒；</w:t>
            </w:r>
          </w:p>
          <w:p w14:paraId="67993DD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2048位RSA签名/验签：</w:t>
            </w:r>
          </w:p>
          <w:p w14:paraId="603D572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≥3000/50000次/秒；</w:t>
            </w:r>
          </w:p>
          <w:p w14:paraId="542AAAD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SM1算法加解密：</w:t>
            </w:r>
          </w:p>
          <w:p w14:paraId="27E5E8F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≥1100 Mbps；</w:t>
            </w:r>
          </w:p>
          <w:p w14:paraId="37833BF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SM4算法加解密：</w:t>
            </w:r>
          </w:p>
          <w:p w14:paraId="0BBEA5D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≥4000 Mbps；</w:t>
            </w:r>
          </w:p>
          <w:p w14:paraId="025A7A5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SM7算法加解密：</w:t>
            </w:r>
          </w:p>
          <w:p w14:paraId="573AD91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≥1000Mbps；</w:t>
            </w:r>
          </w:p>
          <w:p w14:paraId="25C6D3E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ZUC算法加解密：</w:t>
            </w:r>
          </w:p>
          <w:p w14:paraId="6D8FE19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≥850 Mbps；</w:t>
            </w:r>
          </w:p>
          <w:p w14:paraId="0AC4CEE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AES算法加解密：</w:t>
            </w:r>
          </w:p>
          <w:p w14:paraId="338E9BA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≥1000 Mbps；</w:t>
            </w:r>
          </w:p>
          <w:p w14:paraId="226B129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3DES算法加解密：</w:t>
            </w:r>
          </w:p>
          <w:p w14:paraId="59F789B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≥800 Mbps；</w:t>
            </w:r>
          </w:p>
          <w:p w14:paraId="11D692F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SM3杂凑算法：</w:t>
            </w:r>
          </w:p>
          <w:p w14:paraId="50F1FDA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≥4000 Mbps；</w:t>
            </w:r>
          </w:p>
          <w:p w14:paraId="66FDC1C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left"/>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7.对接要求</w:t>
            </w:r>
          </w:p>
          <w:p w14:paraId="372CD31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适配跨境电商统一版系统，适配单一窗口系统，可配置开发包无缝对接。</w:t>
            </w:r>
          </w:p>
        </w:tc>
        <w:tc>
          <w:tcPr>
            <w:tcW w:w="394" w:type="pct"/>
            <w:shd w:val="clear" w:color="auto" w:fill="auto"/>
            <w:vAlign w:val="center"/>
          </w:tcPr>
          <w:p w14:paraId="6ACFED2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0CF2849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4B43A06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13.72</w:t>
            </w:r>
          </w:p>
        </w:tc>
        <w:tc>
          <w:tcPr>
            <w:tcW w:w="559" w:type="pct"/>
            <w:shd w:val="clear" w:color="auto" w:fill="auto"/>
            <w:vAlign w:val="center"/>
          </w:tcPr>
          <w:p w14:paraId="3EF19F3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13.72</w:t>
            </w:r>
          </w:p>
        </w:tc>
      </w:tr>
      <w:tr w14:paraId="10A07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6DE594F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3</w:t>
            </w:r>
          </w:p>
        </w:tc>
        <w:tc>
          <w:tcPr>
            <w:tcW w:w="1050" w:type="pct"/>
            <w:shd w:val="clear" w:color="auto" w:fill="auto"/>
            <w:vAlign w:val="center"/>
          </w:tcPr>
          <w:p w14:paraId="4272F2B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交换机</w:t>
            </w:r>
          </w:p>
        </w:tc>
        <w:tc>
          <w:tcPr>
            <w:tcW w:w="1726" w:type="pct"/>
            <w:shd w:val="clear" w:color="auto" w:fill="auto"/>
            <w:vAlign w:val="center"/>
          </w:tcPr>
          <w:p w14:paraId="61E15AF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eastAsia="宋体" w:cs="宋体"/>
                <w:color w:val="000000" w:themeColor="text1"/>
                <w:sz w:val="24"/>
                <w:szCs w:val="24"/>
                <w:lang w:val="en-US" w:eastAsia="zh-CN"/>
                <w14:textFill>
                  <w14:solidFill>
                    <w14:schemeClr w14:val="tx1"/>
                  </w14:solidFill>
                </w14:textFill>
              </w:rPr>
              <w:t>48</w:t>
            </w:r>
            <w:r>
              <w:rPr>
                <w:rFonts w:hint="eastAsia" w:ascii="宋体" w:hAnsi="宋体" w:eastAsia="宋体" w:cs="宋体"/>
                <w:color w:val="000000" w:themeColor="text1"/>
                <w:sz w:val="24"/>
                <w:szCs w:val="24"/>
                <w14:textFill>
                  <w14:solidFill>
                    <w14:schemeClr w14:val="tx1"/>
                  </w14:solidFill>
                </w14:textFill>
              </w:rPr>
              <w:t>个10/100/1000Mbps自适应以太网端口</w:t>
            </w:r>
          </w:p>
        </w:tc>
        <w:tc>
          <w:tcPr>
            <w:tcW w:w="394" w:type="pct"/>
            <w:shd w:val="clear" w:color="auto" w:fill="auto"/>
            <w:vAlign w:val="center"/>
          </w:tcPr>
          <w:p w14:paraId="46C2F00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48DD779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59453D12">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c>
          <w:tcPr>
            <w:tcW w:w="559" w:type="pct"/>
            <w:shd w:val="clear" w:color="auto" w:fill="auto"/>
            <w:vAlign w:val="center"/>
          </w:tcPr>
          <w:p w14:paraId="7CE7DDA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0.588</w:t>
            </w:r>
          </w:p>
        </w:tc>
      </w:tr>
      <w:tr w14:paraId="2A64E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766511C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4</w:t>
            </w:r>
          </w:p>
        </w:tc>
        <w:tc>
          <w:tcPr>
            <w:tcW w:w="1050" w:type="pct"/>
            <w:shd w:val="clear" w:color="auto" w:fill="auto"/>
            <w:vAlign w:val="center"/>
          </w:tcPr>
          <w:p w14:paraId="39EB603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防火墙</w:t>
            </w:r>
          </w:p>
        </w:tc>
        <w:tc>
          <w:tcPr>
            <w:tcW w:w="1726" w:type="pct"/>
            <w:shd w:val="clear" w:color="auto" w:fill="auto"/>
            <w:vAlign w:val="center"/>
          </w:tcPr>
          <w:p w14:paraId="2D1946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企业级防火墙千兆2*GE +10*GE VPN企业安全管理</w:t>
            </w:r>
          </w:p>
          <w:p w14:paraId="764E3CD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eastAsia="zh-CN"/>
              </w:rPr>
            </w:pPr>
            <w:r>
              <w:rPr>
                <w:rFonts w:hint="eastAsia" w:ascii="宋体" w:hAnsi="宋体" w:eastAsia="宋体" w:cs="宋体"/>
                <w:color w:val="000000" w:themeColor="text1"/>
                <w:sz w:val="24"/>
                <w:szCs w:val="24"/>
                <w14:textFill>
                  <w14:solidFill>
                    <w14:schemeClr w14:val="tx1"/>
                  </w14:solidFill>
                </w14:textFill>
              </w:rPr>
              <w:t>VPN支持：支持丰富可靠的VPN特性，如IPSec VPN，SSL VPN，L2TP VPN，GRE等，提供自研的VPN客户端SecoClient，实现SSL VPN，L2TP VPN和L2TP over IPSec VPN用户远程接入，支持DES，3DES，AES，SHA，SM2/SM3/SM4等多种加密算法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入侵检测：第一时间获取最新威胁信息，准确检测并防御针对漏洞的攻击。可防护各种针对web的攻击，包括SQL注入攻击和跨站脚本攻击等</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带宽管理：在识别业务应用的基础上，可管理每用户/IP使用的带宽, 确保关键业务和关键用户的网络体验。管控方式包括：限制最大带宽或保障最小带宽、应用的策略路由、修改应用转发优先级</w:t>
            </w:r>
            <w:r>
              <w:rPr>
                <w:rFonts w:hint="eastAsia" w:ascii="宋体" w:hAnsi="宋体" w:eastAsia="宋体" w:cs="宋体"/>
                <w:color w:val="000000" w:themeColor="text1"/>
                <w:sz w:val="24"/>
                <w:szCs w:val="24"/>
                <w:highlight w:val="none"/>
                <w14:textFill>
                  <w14:solidFill>
                    <w14:schemeClr w14:val="tx1"/>
                  </w14:solidFill>
                </w14:textFill>
              </w:rPr>
              <w:t>等</w:t>
            </w:r>
            <w:r>
              <w:rPr>
                <w:rFonts w:hint="eastAsia" w:ascii="宋体" w:hAnsi="宋体" w:eastAsia="宋体" w:cs="宋体"/>
                <w:b/>
                <w:bCs/>
                <w:sz w:val="24"/>
                <w:szCs w:val="24"/>
                <w:highlight w:val="none"/>
                <w:lang w:val="en-US" w:eastAsia="zh-CN"/>
              </w:rPr>
              <w:t>（评标项</w:t>
            </w:r>
            <w:r>
              <w:rPr>
                <w:rFonts w:hint="eastAsia" w:eastAsia="宋体" w:cs="宋体"/>
                <w:b/>
                <w:bCs/>
                <w:sz w:val="24"/>
                <w:szCs w:val="24"/>
                <w:highlight w:val="none"/>
                <w:lang w:val="en-US" w:eastAsia="zh-CN"/>
              </w:rPr>
              <w:t>32</w:t>
            </w:r>
            <w:r>
              <w:rPr>
                <w:rFonts w:hint="eastAsia" w:ascii="宋体" w:hAnsi="宋体" w:eastAsia="宋体" w:cs="宋体"/>
                <w:b/>
                <w:bCs/>
                <w:sz w:val="24"/>
                <w:szCs w:val="24"/>
                <w:highlight w:val="none"/>
                <w:lang w:val="en-US" w:eastAsia="zh-CN"/>
              </w:rPr>
              <w:t>）</w:t>
            </w:r>
          </w:p>
        </w:tc>
        <w:tc>
          <w:tcPr>
            <w:tcW w:w="394" w:type="pct"/>
            <w:shd w:val="clear" w:color="auto" w:fill="auto"/>
            <w:vAlign w:val="center"/>
          </w:tcPr>
          <w:p w14:paraId="7567A6A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7CC03E4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536098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0.784</w:t>
            </w:r>
          </w:p>
        </w:tc>
        <w:tc>
          <w:tcPr>
            <w:tcW w:w="559" w:type="pct"/>
            <w:shd w:val="clear" w:color="auto" w:fill="auto"/>
            <w:vAlign w:val="center"/>
          </w:tcPr>
          <w:p w14:paraId="682C4E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0.784</w:t>
            </w:r>
          </w:p>
        </w:tc>
      </w:tr>
      <w:tr w14:paraId="47375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630C72A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5</w:t>
            </w:r>
          </w:p>
        </w:tc>
        <w:tc>
          <w:tcPr>
            <w:tcW w:w="1050" w:type="pct"/>
            <w:shd w:val="clear" w:color="auto" w:fill="auto"/>
            <w:vAlign w:val="center"/>
          </w:tcPr>
          <w:p w14:paraId="22C8A2D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无线AP</w:t>
            </w:r>
          </w:p>
        </w:tc>
        <w:tc>
          <w:tcPr>
            <w:tcW w:w="1726" w:type="pct"/>
            <w:shd w:val="clear" w:color="auto" w:fill="auto"/>
            <w:vAlign w:val="center"/>
          </w:tcPr>
          <w:p w14:paraId="0B26227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企业级无线吸顶AP全屋wifi6网络覆盖11ax室内型2+2千兆双频3000M内置智能天线</w:t>
            </w:r>
          </w:p>
        </w:tc>
        <w:tc>
          <w:tcPr>
            <w:tcW w:w="394" w:type="pct"/>
            <w:shd w:val="clear" w:color="auto" w:fill="auto"/>
            <w:vAlign w:val="center"/>
          </w:tcPr>
          <w:p w14:paraId="536ACBB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8</w:t>
            </w:r>
          </w:p>
        </w:tc>
        <w:tc>
          <w:tcPr>
            <w:tcW w:w="407" w:type="pct"/>
            <w:shd w:val="clear" w:color="auto" w:fill="auto"/>
            <w:vAlign w:val="center"/>
          </w:tcPr>
          <w:p w14:paraId="1792293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04BB752B">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0.098</w:t>
            </w:r>
          </w:p>
        </w:tc>
        <w:tc>
          <w:tcPr>
            <w:tcW w:w="559" w:type="pct"/>
            <w:shd w:val="clear" w:color="auto" w:fill="auto"/>
            <w:vAlign w:val="center"/>
          </w:tcPr>
          <w:p w14:paraId="7F153FB5">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0.784</w:t>
            </w:r>
          </w:p>
        </w:tc>
      </w:tr>
      <w:tr w14:paraId="368DF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53AB6EEC">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6</w:t>
            </w:r>
          </w:p>
        </w:tc>
        <w:tc>
          <w:tcPr>
            <w:tcW w:w="1050" w:type="pct"/>
            <w:shd w:val="clear" w:color="auto" w:fill="auto"/>
            <w:vAlign w:val="center"/>
          </w:tcPr>
          <w:p w14:paraId="61AEB10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海关互联网安全设备</w:t>
            </w:r>
          </w:p>
        </w:tc>
        <w:tc>
          <w:tcPr>
            <w:tcW w:w="1726" w:type="pct"/>
            <w:shd w:val="clear" w:color="auto" w:fill="auto"/>
            <w:vAlign w:val="center"/>
          </w:tcPr>
          <w:p w14:paraId="47580FB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根据《福州海关互联网终端网络安全指引》及《福州海关无线局域网安全设备建设需求》要求“加强福州海关互联网网络安全管理，防范化解重大风险”。需在海关办公的互联网出口部署一套</w:t>
            </w:r>
            <w:r>
              <w:rPr>
                <w:rFonts w:hint="eastAsia" w:ascii="宋体" w:hAnsi="宋体" w:eastAsia="宋体" w:cs="宋体"/>
                <w:color w:val="000000" w:themeColor="text1"/>
                <w:sz w:val="24"/>
                <w:szCs w:val="24"/>
                <w:lang w:val="en-US" w:eastAsia="zh-CN"/>
                <w14:textFill>
                  <w14:solidFill>
                    <w14:schemeClr w14:val="tx1"/>
                  </w14:solidFill>
                </w14:textFill>
              </w:rPr>
              <w:t>网络</w:t>
            </w:r>
            <w:r>
              <w:rPr>
                <w:rFonts w:hint="eastAsia" w:ascii="宋体" w:hAnsi="宋体" w:eastAsia="宋体" w:cs="宋体"/>
                <w:color w:val="000000" w:themeColor="text1"/>
                <w:sz w:val="24"/>
                <w:szCs w:val="24"/>
                <w14:textFill>
                  <w14:solidFill>
                    <w14:schemeClr w14:val="tx1"/>
                  </w14:solidFill>
                </w14:textFill>
              </w:rPr>
              <w:t>安全设备，确保海关互联网办公的安全。</w:t>
            </w:r>
            <w:r>
              <w:rPr>
                <w:rFonts w:hint="eastAsia" w:ascii="宋体" w:hAnsi="宋体" w:eastAsia="宋体" w:cs="宋体"/>
                <w:color w:val="000000" w:themeColor="text1"/>
                <w:sz w:val="24"/>
                <w:szCs w:val="24"/>
                <w:lang w:val="en-US" w:eastAsia="zh-CN"/>
                <w14:textFill>
                  <w14:solidFill>
                    <w14:schemeClr w14:val="tx1"/>
                  </w14:solidFill>
                </w14:textFill>
              </w:rPr>
              <w:t>主要有MAC地址绑定功能、网络流量监测和上网行为管理等功能。</w:t>
            </w:r>
          </w:p>
        </w:tc>
        <w:tc>
          <w:tcPr>
            <w:tcW w:w="394" w:type="pct"/>
            <w:shd w:val="clear" w:color="auto" w:fill="auto"/>
            <w:vAlign w:val="center"/>
          </w:tcPr>
          <w:p w14:paraId="009501B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3C04E47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台</w:t>
            </w:r>
          </w:p>
        </w:tc>
        <w:tc>
          <w:tcPr>
            <w:tcW w:w="547" w:type="pct"/>
            <w:shd w:val="clear" w:color="auto" w:fill="auto"/>
            <w:vAlign w:val="center"/>
          </w:tcPr>
          <w:p w14:paraId="5AD5C0A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2.3716</w:t>
            </w:r>
          </w:p>
        </w:tc>
        <w:tc>
          <w:tcPr>
            <w:tcW w:w="559" w:type="pct"/>
            <w:shd w:val="clear" w:color="auto" w:fill="auto"/>
            <w:vAlign w:val="center"/>
          </w:tcPr>
          <w:p w14:paraId="1728522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2.3716</w:t>
            </w:r>
          </w:p>
        </w:tc>
      </w:tr>
      <w:tr w14:paraId="4D94A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2F9E750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7</w:t>
            </w:r>
          </w:p>
        </w:tc>
        <w:tc>
          <w:tcPr>
            <w:tcW w:w="1050" w:type="pct"/>
            <w:shd w:val="clear" w:color="auto" w:fill="auto"/>
            <w:vAlign w:val="center"/>
          </w:tcPr>
          <w:p w14:paraId="5FF998A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机柜</w:t>
            </w:r>
          </w:p>
        </w:tc>
        <w:tc>
          <w:tcPr>
            <w:tcW w:w="1726" w:type="pct"/>
            <w:shd w:val="clear" w:color="auto" w:fill="auto"/>
            <w:vAlign w:val="center"/>
          </w:tcPr>
          <w:p w14:paraId="6994ECF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default" w:ascii="宋体" w:hAnsi="宋体" w:eastAsia="宋体" w:cs="宋体"/>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42U  2000</w:t>
            </w:r>
            <w:r>
              <w:rPr>
                <w:rFonts w:hint="eastAsia" w:eastAsia="宋体" w:cs="宋体"/>
                <w:color w:val="000000" w:themeColor="text1"/>
                <w:sz w:val="24"/>
                <w:szCs w:val="24"/>
                <w:lang w:val="en-US" w:eastAsia="zh-CN"/>
                <w14:textFill>
                  <w14:solidFill>
                    <w14:schemeClr w14:val="tx1"/>
                  </w14:solidFill>
                </w14:textFill>
              </w:rPr>
              <w:t>mm</w:t>
            </w:r>
            <w:r>
              <w:rPr>
                <w:rFonts w:hint="eastAsia" w:ascii="宋体" w:hAnsi="宋体" w:eastAsia="宋体" w:cs="宋体"/>
                <w:color w:val="000000" w:themeColor="text1"/>
                <w:sz w:val="24"/>
                <w:szCs w:val="24"/>
                <w14:textFill>
                  <w14:solidFill>
                    <w14:schemeClr w14:val="tx1"/>
                  </w14:solidFill>
                </w14:textFill>
              </w:rPr>
              <w:t>*600</w:t>
            </w:r>
            <w:r>
              <w:rPr>
                <w:rFonts w:hint="eastAsia" w:eastAsia="宋体" w:cs="宋体"/>
                <w:color w:val="000000" w:themeColor="text1"/>
                <w:sz w:val="24"/>
                <w:szCs w:val="24"/>
                <w:lang w:val="en-US" w:eastAsia="zh-CN"/>
                <w14:textFill>
                  <w14:solidFill>
                    <w14:schemeClr w14:val="tx1"/>
                  </w14:solidFill>
                </w14:textFill>
              </w:rPr>
              <w:t>mm</w:t>
            </w:r>
            <w:r>
              <w:rPr>
                <w:rFonts w:hint="eastAsia" w:ascii="宋体" w:hAnsi="宋体" w:eastAsia="宋体" w:cs="宋体"/>
                <w:color w:val="000000" w:themeColor="text1"/>
                <w:sz w:val="24"/>
                <w:szCs w:val="24"/>
                <w14:textFill>
                  <w14:solidFill>
                    <w14:schemeClr w14:val="tx1"/>
                  </w14:solidFill>
                </w14:textFill>
              </w:rPr>
              <w:t>*1000</w:t>
            </w:r>
            <w:r>
              <w:rPr>
                <w:rFonts w:hint="eastAsia" w:eastAsia="宋体" w:cs="宋体"/>
                <w:color w:val="000000" w:themeColor="text1"/>
                <w:sz w:val="24"/>
                <w:szCs w:val="24"/>
                <w:lang w:val="en-US" w:eastAsia="zh-CN"/>
                <w14:textFill>
                  <w14:solidFill>
                    <w14:schemeClr w14:val="tx1"/>
                  </w14:solidFill>
                </w14:textFill>
              </w:rPr>
              <w:t>mm</w:t>
            </w:r>
          </w:p>
        </w:tc>
        <w:tc>
          <w:tcPr>
            <w:tcW w:w="394" w:type="pct"/>
            <w:shd w:val="clear" w:color="auto" w:fill="auto"/>
            <w:vAlign w:val="center"/>
          </w:tcPr>
          <w:p w14:paraId="63B1988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75EE3E9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套</w:t>
            </w:r>
          </w:p>
        </w:tc>
        <w:tc>
          <w:tcPr>
            <w:tcW w:w="547" w:type="pct"/>
            <w:shd w:val="clear" w:color="auto" w:fill="auto"/>
            <w:vAlign w:val="center"/>
          </w:tcPr>
          <w:p w14:paraId="6D984D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0.196</w:t>
            </w:r>
          </w:p>
        </w:tc>
        <w:tc>
          <w:tcPr>
            <w:tcW w:w="559" w:type="pct"/>
            <w:shd w:val="clear" w:color="auto" w:fill="auto"/>
            <w:vAlign w:val="center"/>
          </w:tcPr>
          <w:p w14:paraId="38F52D8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0.196</w:t>
            </w:r>
          </w:p>
        </w:tc>
      </w:tr>
      <w:tr w14:paraId="6CFBE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314" w:type="pct"/>
            <w:shd w:val="clear" w:color="auto" w:fill="auto"/>
            <w:noWrap/>
            <w:vAlign w:val="center"/>
          </w:tcPr>
          <w:p w14:paraId="2C2F6F8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8</w:t>
            </w:r>
          </w:p>
        </w:tc>
        <w:tc>
          <w:tcPr>
            <w:tcW w:w="1050" w:type="pct"/>
            <w:shd w:val="clear" w:color="auto" w:fill="auto"/>
            <w:vAlign w:val="center"/>
          </w:tcPr>
          <w:p w14:paraId="742DCD7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配件</w:t>
            </w:r>
          </w:p>
        </w:tc>
        <w:tc>
          <w:tcPr>
            <w:tcW w:w="1726" w:type="pct"/>
            <w:shd w:val="clear" w:color="auto" w:fill="auto"/>
            <w:vAlign w:val="center"/>
          </w:tcPr>
          <w:p w14:paraId="488FC17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p>
        </w:tc>
        <w:tc>
          <w:tcPr>
            <w:tcW w:w="394" w:type="pct"/>
            <w:shd w:val="clear" w:color="auto" w:fill="auto"/>
            <w:vAlign w:val="center"/>
          </w:tcPr>
          <w:p w14:paraId="2EDF5324">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2030166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套</w:t>
            </w:r>
          </w:p>
        </w:tc>
        <w:tc>
          <w:tcPr>
            <w:tcW w:w="547" w:type="pct"/>
            <w:shd w:val="clear" w:color="auto" w:fill="auto"/>
            <w:vAlign w:val="center"/>
          </w:tcPr>
          <w:p w14:paraId="11BCD70C">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c>
          <w:tcPr>
            <w:tcW w:w="559" w:type="pct"/>
            <w:shd w:val="clear" w:color="auto" w:fill="auto"/>
            <w:vAlign w:val="center"/>
          </w:tcPr>
          <w:p w14:paraId="27E50AFE">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0.294</w:t>
            </w:r>
          </w:p>
        </w:tc>
      </w:tr>
      <w:tr w14:paraId="16E02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682C7EB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9</w:t>
            </w:r>
          </w:p>
        </w:tc>
        <w:tc>
          <w:tcPr>
            <w:tcW w:w="1050" w:type="pct"/>
            <w:shd w:val="clear" w:color="auto" w:fill="auto"/>
            <w:vAlign w:val="center"/>
          </w:tcPr>
          <w:p w14:paraId="02DDAD66">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r>
              <w:rPr>
                <w:rFonts w:hint="eastAsia" w:ascii="宋体" w:hAnsi="宋体" w:eastAsia="宋体" w:cs="宋体"/>
                <w:sz w:val="24"/>
                <w:szCs w:val="24"/>
                <w:lang w:val="en-US" w:eastAsia="zh-CN"/>
              </w:rPr>
              <w:t>智能电子关锁自动施封系统</w:t>
            </w:r>
          </w:p>
        </w:tc>
        <w:tc>
          <w:tcPr>
            <w:tcW w:w="1726" w:type="pct"/>
            <w:shd w:val="clear" w:color="auto" w:fill="auto"/>
            <w:vAlign w:val="center"/>
          </w:tcPr>
          <w:p w14:paraId="2BDDC6B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rPr>
            </w:pPr>
          </w:p>
        </w:tc>
        <w:tc>
          <w:tcPr>
            <w:tcW w:w="394" w:type="pct"/>
            <w:shd w:val="clear" w:color="auto" w:fill="auto"/>
            <w:vAlign w:val="center"/>
          </w:tcPr>
          <w:p w14:paraId="0D4A9EE2">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w:t>
            </w:r>
          </w:p>
        </w:tc>
        <w:tc>
          <w:tcPr>
            <w:tcW w:w="407" w:type="pct"/>
            <w:shd w:val="clear" w:color="auto" w:fill="auto"/>
            <w:vAlign w:val="center"/>
          </w:tcPr>
          <w:p w14:paraId="3FBA58A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套</w:t>
            </w:r>
          </w:p>
        </w:tc>
        <w:tc>
          <w:tcPr>
            <w:tcW w:w="547" w:type="pct"/>
            <w:shd w:val="clear" w:color="auto" w:fill="auto"/>
            <w:vAlign w:val="center"/>
          </w:tcPr>
          <w:p w14:paraId="3208C12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19.404</w:t>
            </w:r>
          </w:p>
        </w:tc>
        <w:tc>
          <w:tcPr>
            <w:tcW w:w="559" w:type="pct"/>
            <w:shd w:val="clear" w:color="auto" w:fill="auto"/>
            <w:vAlign w:val="center"/>
          </w:tcPr>
          <w:p w14:paraId="41D4FE5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19.404</w:t>
            </w:r>
          </w:p>
        </w:tc>
      </w:tr>
      <w:tr w14:paraId="00E7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0117BF7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9.1</w:t>
            </w:r>
          </w:p>
        </w:tc>
        <w:tc>
          <w:tcPr>
            <w:tcW w:w="1050" w:type="pct"/>
            <w:shd w:val="clear" w:color="auto" w:fill="auto"/>
            <w:vAlign w:val="center"/>
          </w:tcPr>
          <w:p w14:paraId="55873A0C">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安全智能锁</w:t>
            </w:r>
          </w:p>
        </w:tc>
        <w:tc>
          <w:tcPr>
            <w:tcW w:w="1726" w:type="pct"/>
            <w:shd w:val="clear" w:color="auto" w:fill="auto"/>
            <w:vAlign w:val="center"/>
          </w:tcPr>
          <w:p w14:paraId="08A664CA">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不锈钢材质；锂聚合物电池；支持RFID；无线通讯方式支持4G/SMS；内置全向天线；续航时间5天或以上；防护等级：IP67；使用寿命：5年；支持LED工作灯显示；</w:t>
            </w:r>
            <w:r>
              <w:rPr>
                <w:rFonts w:hint="eastAsia" w:ascii="宋体" w:hAnsi="宋体" w:eastAsia="宋体" w:cs="宋体"/>
                <w:i w:val="0"/>
                <w:iCs w:val="0"/>
                <w:color w:val="auto"/>
                <w:kern w:val="2"/>
                <w:sz w:val="24"/>
                <w:szCs w:val="24"/>
                <w:u w:val="none"/>
                <w:lang w:val="en-US" w:eastAsia="zh-CN" w:bidi="ar"/>
              </w:rPr>
              <w:br w:type="textWrapping"/>
            </w:r>
            <w:r>
              <w:rPr>
                <w:rFonts w:hint="eastAsia" w:ascii="宋体" w:hAnsi="宋体" w:eastAsia="宋体" w:cs="宋体"/>
                <w:i w:val="0"/>
                <w:iCs w:val="0"/>
                <w:color w:val="auto"/>
                <w:kern w:val="2"/>
                <w:sz w:val="24"/>
                <w:szCs w:val="24"/>
                <w:u w:val="none"/>
                <w:lang w:val="en-US" w:eastAsia="zh-CN" w:bidi="ar"/>
              </w:rPr>
              <w:t>实时追踪：全程追踪GPS/北斗双模定位轨迹信息，并可实时报警</w:t>
            </w:r>
            <w:r>
              <w:rPr>
                <w:rFonts w:hint="eastAsia" w:ascii="宋体" w:hAnsi="宋体" w:eastAsia="宋体" w:cs="宋体"/>
                <w:i w:val="0"/>
                <w:iCs w:val="0"/>
                <w:color w:val="auto"/>
                <w:kern w:val="2"/>
                <w:sz w:val="24"/>
                <w:szCs w:val="24"/>
                <w:u w:val="none"/>
                <w:lang w:val="en-US" w:eastAsia="zh-CN" w:bidi="ar"/>
              </w:rPr>
              <w:br w:type="textWrapping"/>
            </w:r>
            <w:r>
              <w:rPr>
                <w:rFonts w:hint="eastAsia" w:ascii="宋体" w:hAnsi="宋体" w:eastAsia="宋体" w:cs="宋体"/>
                <w:i w:val="0"/>
                <w:iCs w:val="0"/>
                <w:color w:val="auto"/>
                <w:kern w:val="2"/>
                <w:sz w:val="24"/>
                <w:szCs w:val="24"/>
                <w:u w:val="none"/>
                <w:lang w:val="en-US" w:eastAsia="zh-CN" w:bidi="ar"/>
              </w:rPr>
              <w:t>自动报警：锁杆/锁体被破坏时立即向平台发出报警信息</w:t>
            </w:r>
            <w:r>
              <w:rPr>
                <w:rFonts w:hint="eastAsia" w:ascii="宋体" w:hAnsi="宋体" w:eastAsia="宋体" w:cs="宋体"/>
                <w:i w:val="0"/>
                <w:iCs w:val="0"/>
                <w:color w:val="auto"/>
                <w:kern w:val="2"/>
                <w:sz w:val="24"/>
                <w:szCs w:val="24"/>
                <w:u w:val="none"/>
                <w:lang w:val="en-US" w:eastAsia="zh-CN" w:bidi="ar"/>
              </w:rPr>
              <w:br w:type="textWrapping"/>
            </w:r>
            <w:r>
              <w:rPr>
                <w:rFonts w:hint="eastAsia" w:ascii="宋体" w:hAnsi="宋体" w:eastAsia="宋体" w:cs="宋体"/>
                <w:i w:val="0"/>
                <w:iCs w:val="0"/>
                <w:color w:val="auto"/>
                <w:kern w:val="2"/>
                <w:sz w:val="24"/>
                <w:szCs w:val="24"/>
                <w:u w:val="none"/>
                <w:lang w:val="en-US" w:eastAsia="zh-CN" w:bidi="ar"/>
              </w:rPr>
              <w:t>存储记录：大容量掉电不失内存，准确详细记录对锁体进行的一系列操作。</w:t>
            </w:r>
          </w:p>
        </w:tc>
        <w:tc>
          <w:tcPr>
            <w:tcW w:w="394" w:type="pct"/>
            <w:shd w:val="clear" w:color="auto" w:fill="auto"/>
            <w:vAlign w:val="center"/>
          </w:tcPr>
          <w:p w14:paraId="4E35EBE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20</w:t>
            </w:r>
          </w:p>
        </w:tc>
        <w:tc>
          <w:tcPr>
            <w:tcW w:w="407" w:type="pct"/>
            <w:shd w:val="clear" w:color="auto" w:fill="auto"/>
            <w:vAlign w:val="center"/>
          </w:tcPr>
          <w:p w14:paraId="155A018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套</w:t>
            </w:r>
          </w:p>
        </w:tc>
        <w:tc>
          <w:tcPr>
            <w:tcW w:w="547" w:type="pct"/>
            <w:shd w:val="clear" w:color="auto" w:fill="auto"/>
            <w:vAlign w:val="center"/>
          </w:tcPr>
          <w:p w14:paraId="10F903E0">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lang w:val="en-US" w:eastAsia="zh-CN"/>
              </w:rPr>
            </w:pPr>
          </w:p>
        </w:tc>
        <w:tc>
          <w:tcPr>
            <w:tcW w:w="559" w:type="pct"/>
            <w:shd w:val="clear" w:color="auto" w:fill="auto"/>
            <w:vAlign w:val="center"/>
          </w:tcPr>
          <w:p w14:paraId="644F9C17">
            <w:pPr>
              <w:keepNext w:val="0"/>
              <w:keepLines w:val="0"/>
              <w:suppressLineNumbers w:val="0"/>
              <w:spacing w:before="0" w:beforeAutospacing="0" w:after="0" w:afterAutospacing="0"/>
              <w:ind w:left="0" w:right="0"/>
              <w:jc w:val="center"/>
              <w:rPr>
                <w:rFonts w:hint="eastAsia" w:ascii="宋体" w:hAnsi="宋体" w:eastAsia="宋体" w:cs="宋体"/>
                <w:sz w:val="24"/>
                <w:szCs w:val="24"/>
                <w:lang w:val="en-US" w:eastAsia="zh-CN"/>
              </w:rPr>
            </w:pPr>
          </w:p>
        </w:tc>
      </w:tr>
      <w:tr w14:paraId="4C591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2967629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9.2</w:t>
            </w:r>
          </w:p>
        </w:tc>
        <w:tc>
          <w:tcPr>
            <w:tcW w:w="1050" w:type="pct"/>
            <w:shd w:val="clear" w:color="auto" w:fill="auto"/>
            <w:vAlign w:val="center"/>
          </w:tcPr>
          <w:p w14:paraId="33E070C6">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手持式终端施封</w:t>
            </w:r>
          </w:p>
        </w:tc>
        <w:tc>
          <w:tcPr>
            <w:tcW w:w="1726" w:type="pct"/>
            <w:shd w:val="clear" w:color="auto" w:fill="auto"/>
            <w:vAlign w:val="center"/>
          </w:tcPr>
          <w:p w14:paraId="5E30D94E">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短距离微功率无线读、写数据。</w:t>
            </w:r>
            <w:r>
              <w:rPr>
                <w:rFonts w:hint="eastAsia" w:ascii="宋体" w:hAnsi="宋体" w:eastAsia="宋体" w:cs="宋体"/>
                <w:i w:val="0"/>
                <w:iCs w:val="0"/>
                <w:color w:val="auto"/>
                <w:kern w:val="2"/>
                <w:sz w:val="24"/>
                <w:szCs w:val="24"/>
                <w:u w:val="none"/>
                <w:lang w:val="en-US" w:eastAsia="zh-CN" w:bidi="ar"/>
              </w:rPr>
              <w:br w:type="textWrapping"/>
            </w:r>
            <w:r>
              <w:rPr>
                <w:rFonts w:hint="eastAsia" w:ascii="宋体" w:hAnsi="宋体" w:eastAsia="宋体" w:cs="宋体"/>
                <w:i w:val="0"/>
                <w:iCs w:val="0"/>
                <w:color w:val="auto"/>
                <w:kern w:val="2"/>
                <w:sz w:val="24"/>
                <w:szCs w:val="24"/>
                <w:u w:val="none"/>
                <w:lang w:val="en-US" w:eastAsia="zh-CN" w:bidi="ar"/>
              </w:rPr>
              <w:t>低功耗电路设计。</w:t>
            </w:r>
            <w:r>
              <w:rPr>
                <w:rFonts w:hint="eastAsia" w:ascii="宋体" w:hAnsi="宋体" w:eastAsia="宋体" w:cs="宋体"/>
                <w:i w:val="0"/>
                <w:iCs w:val="0"/>
                <w:color w:val="auto"/>
                <w:kern w:val="2"/>
                <w:sz w:val="24"/>
                <w:szCs w:val="24"/>
                <w:u w:val="none"/>
                <w:lang w:val="en-US" w:eastAsia="zh-CN" w:bidi="ar"/>
              </w:rPr>
              <w:br w:type="textWrapping"/>
            </w:r>
            <w:r>
              <w:rPr>
                <w:rFonts w:hint="eastAsia" w:ascii="宋体" w:hAnsi="宋体" w:eastAsia="宋体" w:cs="宋体"/>
                <w:i w:val="0"/>
                <w:iCs w:val="0"/>
                <w:color w:val="auto"/>
                <w:kern w:val="2"/>
                <w:sz w:val="24"/>
                <w:szCs w:val="24"/>
                <w:u w:val="none"/>
                <w:lang w:val="en-US" w:eastAsia="zh-CN" w:bidi="ar"/>
              </w:rPr>
              <w:t>大容量可充电锂电池供电，保证室外长时间使用。</w:t>
            </w:r>
          </w:p>
        </w:tc>
        <w:tc>
          <w:tcPr>
            <w:tcW w:w="394" w:type="pct"/>
            <w:shd w:val="clear" w:color="auto" w:fill="auto"/>
            <w:vAlign w:val="center"/>
          </w:tcPr>
          <w:p w14:paraId="5B8434E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407" w:type="pct"/>
            <w:shd w:val="clear" w:color="auto" w:fill="auto"/>
            <w:vAlign w:val="center"/>
          </w:tcPr>
          <w:p w14:paraId="210143E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套</w:t>
            </w:r>
          </w:p>
        </w:tc>
        <w:tc>
          <w:tcPr>
            <w:tcW w:w="547" w:type="pct"/>
            <w:shd w:val="clear" w:color="auto" w:fill="auto"/>
            <w:vAlign w:val="center"/>
          </w:tcPr>
          <w:p w14:paraId="29299D8C">
            <w:pPr>
              <w:keepNext w:val="0"/>
              <w:keepLines w:val="0"/>
              <w:suppressLineNumbers w:val="0"/>
              <w:spacing w:before="0" w:beforeAutospacing="0" w:after="0" w:afterAutospacing="0"/>
              <w:ind w:left="0" w:right="0"/>
              <w:jc w:val="center"/>
              <w:rPr>
                <w:rFonts w:hint="eastAsia" w:ascii="宋体" w:hAnsi="宋体" w:eastAsia="宋体" w:cs="宋体"/>
                <w:color w:val="auto"/>
                <w:sz w:val="24"/>
                <w:szCs w:val="24"/>
                <w:lang w:val="en-US" w:eastAsia="zh-CN"/>
              </w:rPr>
            </w:pPr>
          </w:p>
        </w:tc>
        <w:tc>
          <w:tcPr>
            <w:tcW w:w="559" w:type="pct"/>
            <w:shd w:val="clear" w:color="auto" w:fill="auto"/>
            <w:vAlign w:val="center"/>
          </w:tcPr>
          <w:p w14:paraId="0C5FB3A5">
            <w:pPr>
              <w:keepNext w:val="0"/>
              <w:keepLines w:val="0"/>
              <w:suppressLineNumbers w:val="0"/>
              <w:spacing w:before="0" w:beforeAutospacing="0" w:after="0" w:afterAutospacing="0"/>
              <w:ind w:left="0" w:right="0"/>
              <w:jc w:val="center"/>
              <w:rPr>
                <w:rFonts w:hint="eastAsia" w:ascii="宋体" w:hAnsi="宋体" w:eastAsia="宋体" w:cs="宋体"/>
                <w:sz w:val="24"/>
                <w:szCs w:val="24"/>
                <w:lang w:val="en-US" w:eastAsia="zh-CN"/>
              </w:rPr>
            </w:pPr>
          </w:p>
        </w:tc>
      </w:tr>
      <w:tr w14:paraId="1CD37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54CB530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9.3</w:t>
            </w:r>
          </w:p>
        </w:tc>
        <w:tc>
          <w:tcPr>
            <w:tcW w:w="1050" w:type="pct"/>
            <w:shd w:val="clear" w:color="auto" w:fill="auto"/>
            <w:vAlign w:val="center"/>
          </w:tcPr>
          <w:p w14:paraId="70F6BED3">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自动施封系统</w:t>
            </w:r>
          </w:p>
        </w:tc>
        <w:tc>
          <w:tcPr>
            <w:tcW w:w="1726" w:type="pct"/>
            <w:shd w:val="clear" w:color="auto" w:fill="auto"/>
            <w:vAlign w:val="center"/>
          </w:tcPr>
          <w:p w14:paraId="04C3BD5A">
            <w:pPr>
              <w:pStyle w:val="29"/>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rPr>
                <w:rFonts w:hint="eastAsia" w:ascii="宋体" w:hAnsi="宋体" w:eastAsia="宋体" w:cs="宋体"/>
                <w:i w:val="0"/>
                <w:iCs w:val="0"/>
                <w:color w:val="auto"/>
                <w:kern w:val="2"/>
                <w:sz w:val="24"/>
                <w:szCs w:val="24"/>
                <w:u w:val="none"/>
                <w:lang w:val="en-US" w:eastAsia="zh-CN" w:bidi="ar"/>
              </w:rPr>
            </w:pPr>
            <w:r>
              <w:rPr>
                <w:rFonts w:hint="eastAsia" w:ascii="宋体" w:hAnsi="宋体" w:eastAsia="宋体" w:cs="宋体"/>
                <w:i w:val="0"/>
                <w:iCs w:val="0"/>
                <w:color w:val="auto"/>
                <w:kern w:val="2"/>
                <w:sz w:val="24"/>
                <w:szCs w:val="24"/>
                <w:u w:val="none"/>
                <w:lang w:val="en-US" w:eastAsia="zh-CN" w:bidi="ar"/>
              </w:rPr>
              <w:t>提供自动施封系统，系统具备兼容开发，提供现场系统联调对接，使之可以对海关总署国标安全智能锁进行激活并施封。</w:t>
            </w:r>
          </w:p>
        </w:tc>
        <w:tc>
          <w:tcPr>
            <w:tcW w:w="394" w:type="pct"/>
            <w:shd w:val="clear" w:color="auto" w:fill="auto"/>
            <w:vAlign w:val="center"/>
          </w:tcPr>
          <w:p w14:paraId="13DC261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w:t>
            </w:r>
          </w:p>
        </w:tc>
        <w:tc>
          <w:tcPr>
            <w:tcW w:w="407" w:type="pct"/>
            <w:shd w:val="clear" w:color="auto" w:fill="auto"/>
            <w:vAlign w:val="center"/>
          </w:tcPr>
          <w:p w14:paraId="2129E1C3">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项</w:t>
            </w:r>
          </w:p>
        </w:tc>
        <w:tc>
          <w:tcPr>
            <w:tcW w:w="547" w:type="pct"/>
            <w:shd w:val="clear" w:color="auto" w:fill="auto"/>
            <w:vAlign w:val="center"/>
          </w:tcPr>
          <w:p w14:paraId="53C54C01">
            <w:pPr>
              <w:keepNext w:val="0"/>
              <w:keepLines w:val="0"/>
              <w:suppressLineNumbers w:val="0"/>
              <w:spacing w:before="0" w:beforeAutospacing="0" w:after="0" w:afterAutospacing="0"/>
              <w:ind w:left="0" w:right="0"/>
              <w:rPr>
                <w:rFonts w:hint="eastAsia" w:ascii="宋体" w:hAnsi="宋体" w:eastAsia="宋体" w:cs="宋体"/>
                <w:color w:val="auto"/>
                <w:sz w:val="24"/>
                <w:szCs w:val="24"/>
                <w:lang w:val="en-US" w:eastAsia="zh-CN"/>
              </w:rPr>
            </w:pPr>
          </w:p>
        </w:tc>
        <w:tc>
          <w:tcPr>
            <w:tcW w:w="559" w:type="pct"/>
            <w:shd w:val="clear" w:color="auto" w:fill="auto"/>
            <w:vAlign w:val="center"/>
          </w:tcPr>
          <w:p w14:paraId="2602D199">
            <w:pPr>
              <w:keepNext w:val="0"/>
              <w:keepLines w:val="0"/>
              <w:suppressLineNumbers w:val="0"/>
              <w:spacing w:before="0" w:beforeAutospacing="0" w:after="0" w:afterAutospacing="0"/>
              <w:ind w:left="0" w:right="0"/>
              <w:rPr>
                <w:rFonts w:hint="eastAsia" w:ascii="宋体" w:hAnsi="宋体" w:eastAsia="宋体" w:cs="宋体"/>
                <w:sz w:val="24"/>
                <w:szCs w:val="24"/>
                <w:lang w:val="en-US" w:eastAsia="zh-CN"/>
              </w:rPr>
            </w:pPr>
          </w:p>
        </w:tc>
      </w:tr>
      <w:tr w14:paraId="65F21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3689C88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050" w:type="pct"/>
            <w:shd w:val="clear" w:color="auto" w:fill="auto"/>
            <w:vAlign w:val="center"/>
          </w:tcPr>
          <w:p w14:paraId="2609419D">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100M 监控互联网专线</w:t>
            </w:r>
          </w:p>
        </w:tc>
        <w:tc>
          <w:tcPr>
            <w:tcW w:w="1726" w:type="pct"/>
            <w:shd w:val="clear" w:color="auto" w:fill="auto"/>
            <w:vAlign w:val="center"/>
          </w:tcPr>
          <w:p w14:paraId="0735A32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每年收取</w:t>
            </w:r>
          </w:p>
        </w:tc>
        <w:tc>
          <w:tcPr>
            <w:tcW w:w="394" w:type="pct"/>
            <w:shd w:val="clear" w:color="auto" w:fill="auto"/>
            <w:vAlign w:val="center"/>
          </w:tcPr>
          <w:p w14:paraId="708466CE">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407" w:type="pct"/>
            <w:shd w:val="clear" w:color="auto" w:fill="auto"/>
            <w:vAlign w:val="center"/>
          </w:tcPr>
          <w:p w14:paraId="13568360">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月</w:t>
            </w:r>
          </w:p>
        </w:tc>
        <w:tc>
          <w:tcPr>
            <w:tcW w:w="547" w:type="pct"/>
            <w:shd w:val="clear" w:color="auto" w:fill="auto"/>
            <w:vAlign w:val="center"/>
          </w:tcPr>
          <w:p w14:paraId="649B67B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0.196</w:t>
            </w:r>
          </w:p>
        </w:tc>
        <w:tc>
          <w:tcPr>
            <w:tcW w:w="559" w:type="pct"/>
            <w:shd w:val="clear" w:color="auto" w:fill="auto"/>
            <w:vAlign w:val="center"/>
          </w:tcPr>
          <w:p w14:paraId="0ECA2510">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2.352</w:t>
            </w:r>
          </w:p>
        </w:tc>
      </w:tr>
      <w:tr w14:paraId="048EE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4B7D9C4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050" w:type="pct"/>
            <w:shd w:val="clear" w:color="auto" w:fill="auto"/>
            <w:vAlign w:val="center"/>
          </w:tcPr>
          <w:p w14:paraId="1D8A917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监控视频联网</w:t>
            </w:r>
          </w:p>
        </w:tc>
        <w:tc>
          <w:tcPr>
            <w:tcW w:w="1726" w:type="pct"/>
            <w:shd w:val="clear" w:color="auto" w:fill="auto"/>
            <w:vAlign w:val="center"/>
          </w:tcPr>
          <w:p w14:paraId="1F6C157F">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暂估50路，具体数量根据实际接入数量进行修改，每年收取</w:t>
            </w:r>
          </w:p>
        </w:tc>
        <w:tc>
          <w:tcPr>
            <w:tcW w:w="394" w:type="pct"/>
            <w:shd w:val="clear" w:color="auto" w:fill="auto"/>
            <w:vAlign w:val="center"/>
          </w:tcPr>
          <w:p w14:paraId="103218C9">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50</w:t>
            </w:r>
          </w:p>
        </w:tc>
        <w:tc>
          <w:tcPr>
            <w:tcW w:w="407" w:type="pct"/>
            <w:shd w:val="clear" w:color="auto" w:fill="auto"/>
            <w:vAlign w:val="center"/>
          </w:tcPr>
          <w:p w14:paraId="7B4E8E0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路/年</w:t>
            </w:r>
          </w:p>
        </w:tc>
        <w:tc>
          <w:tcPr>
            <w:tcW w:w="547" w:type="pct"/>
            <w:shd w:val="clear" w:color="auto" w:fill="auto"/>
            <w:vAlign w:val="center"/>
          </w:tcPr>
          <w:p w14:paraId="57918D46">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0.0833</w:t>
            </w:r>
          </w:p>
        </w:tc>
        <w:tc>
          <w:tcPr>
            <w:tcW w:w="559" w:type="pct"/>
            <w:shd w:val="clear" w:color="auto" w:fill="auto"/>
            <w:vAlign w:val="center"/>
          </w:tcPr>
          <w:p w14:paraId="2C2ADB1D">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4.165</w:t>
            </w:r>
          </w:p>
        </w:tc>
      </w:tr>
      <w:tr w14:paraId="5068C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7767EE7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1050" w:type="pct"/>
            <w:shd w:val="clear" w:color="auto" w:fill="auto"/>
            <w:vAlign w:val="center"/>
          </w:tcPr>
          <w:p w14:paraId="36FAEAB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10M 卡口联网电路</w:t>
            </w:r>
          </w:p>
        </w:tc>
        <w:tc>
          <w:tcPr>
            <w:tcW w:w="1726" w:type="pct"/>
            <w:shd w:val="clear" w:color="auto" w:fill="auto"/>
            <w:vAlign w:val="center"/>
          </w:tcPr>
          <w:p w14:paraId="5EA0E7F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每年收取</w:t>
            </w:r>
          </w:p>
        </w:tc>
        <w:tc>
          <w:tcPr>
            <w:tcW w:w="394" w:type="pct"/>
            <w:shd w:val="clear" w:color="auto" w:fill="auto"/>
            <w:vAlign w:val="center"/>
          </w:tcPr>
          <w:p w14:paraId="55A64A2B">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407" w:type="pct"/>
            <w:shd w:val="clear" w:color="auto" w:fill="auto"/>
            <w:vAlign w:val="center"/>
          </w:tcPr>
          <w:p w14:paraId="3BFC1715">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月</w:t>
            </w:r>
          </w:p>
        </w:tc>
        <w:tc>
          <w:tcPr>
            <w:tcW w:w="547" w:type="pct"/>
            <w:shd w:val="clear" w:color="auto" w:fill="auto"/>
            <w:vAlign w:val="center"/>
          </w:tcPr>
          <w:p w14:paraId="29D1B149">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0.1176</w:t>
            </w:r>
          </w:p>
        </w:tc>
        <w:tc>
          <w:tcPr>
            <w:tcW w:w="559" w:type="pct"/>
            <w:shd w:val="clear" w:color="auto" w:fill="auto"/>
            <w:vAlign w:val="center"/>
          </w:tcPr>
          <w:p w14:paraId="734DC6D8">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1.4112</w:t>
            </w:r>
          </w:p>
        </w:tc>
      </w:tr>
      <w:tr w14:paraId="52EB5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0" w:hRule="atLeast"/>
        </w:trPr>
        <w:tc>
          <w:tcPr>
            <w:tcW w:w="314" w:type="pct"/>
            <w:shd w:val="clear" w:color="auto" w:fill="auto"/>
            <w:noWrap/>
            <w:vAlign w:val="center"/>
          </w:tcPr>
          <w:p w14:paraId="7637FB8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1050" w:type="pct"/>
            <w:shd w:val="clear" w:color="auto" w:fill="auto"/>
            <w:vAlign w:val="center"/>
          </w:tcPr>
          <w:p w14:paraId="726ADE1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20M 管理网电路</w:t>
            </w:r>
          </w:p>
        </w:tc>
        <w:tc>
          <w:tcPr>
            <w:tcW w:w="1726" w:type="pct"/>
            <w:shd w:val="clear" w:color="auto" w:fill="auto"/>
            <w:vAlign w:val="center"/>
          </w:tcPr>
          <w:p w14:paraId="6B692E8A">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每年收取</w:t>
            </w:r>
          </w:p>
        </w:tc>
        <w:tc>
          <w:tcPr>
            <w:tcW w:w="394" w:type="pct"/>
            <w:shd w:val="clear" w:color="auto" w:fill="auto"/>
            <w:vAlign w:val="center"/>
          </w:tcPr>
          <w:p w14:paraId="7EED0557">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0" w:firstLine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12</w:t>
            </w:r>
          </w:p>
        </w:tc>
        <w:tc>
          <w:tcPr>
            <w:tcW w:w="407" w:type="pct"/>
            <w:shd w:val="clear" w:color="auto" w:fill="auto"/>
            <w:vAlign w:val="center"/>
          </w:tcPr>
          <w:p w14:paraId="709E9388">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月</w:t>
            </w:r>
          </w:p>
        </w:tc>
        <w:tc>
          <w:tcPr>
            <w:tcW w:w="547" w:type="pct"/>
            <w:shd w:val="clear" w:color="auto" w:fill="auto"/>
            <w:vAlign w:val="center"/>
          </w:tcPr>
          <w:p w14:paraId="6587169F">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0.1568</w:t>
            </w:r>
          </w:p>
        </w:tc>
        <w:tc>
          <w:tcPr>
            <w:tcW w:w="559" w:type="pct"/>
            <w:shd w:val="clear" w:color="auto" w:fill="auto"/>
            <w:vAlign w:val="center"/>
          </w:tcPr>
          <w:p w14:paraId="10AC4874">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2"/>
                <w:szCs w:val="22"/>
                <w:u w:val="none"/>
                <w:lang w:val="en-US" w:eastAsia="zh-CN" w:bidi="ar"/>
              </w:rPr>
              <w:t>1.8816</w:t>
            </w:r>
          </w:p>
        </w:tc>
      </w:tr>
      <w:tr w14:paraId="40E24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5" w:hRule="atLeast"/>
        </w:trPr>
        <w:tc>
          <w:tcPr>
            <w:tcW w:w="4440" w:type="pct"/>
            <w:gridSpan w:val="6"/>
            <w:shd w:val="clear" w:color="auto" w:fill="auto"/>
            <w:vAlign w:val="center"/>
          </w:tcPr>
          <w:p w14:paraId="13D5B411">
            <w:pPr>
              <w:pStyle w:val="34"/>
              <w:keepNext w:val="0"/>
              <w:keepLines w:val="0"/>
              <w:pageBreakBefore w:val="0"/>
              <w:suppressLineNumbers w:val="0"/>
              <w:kinsoku/>
              <w:wordWrap/>
              <w:overflowPunct/>
              <w:topLinePunct w:val="0"/>
              <w:autoSpaceDE/>
              <w:autoSpaceDN/>
              <w:bidi w:val="0"/>
              <w:adjustRightInd/>
              <w:snapToGrid/>
              <w:spacing w:before="0" w:beforeLines="0" w:beforeAutospacing="0" w:after="0" w:afterLines="0" w:afterAutospacing="0" w:line="360" w:lineRule="auto"/>
              <w:ind w:left="0" w:right="0" w:firstLine="0" w:firstLineChars="0"/>
              <w:jc w:val="center"/>
              <w:rPr>
                <w:rFonts w:hint="eastAsia" w:ascii="宋体" w:hAnsi="宋体" w:eastAsia="宋体" w:cs="宋体"/>
                <w:sz w:val="24"/>
                <w:szCs w:val="24"/>
                <w:lang w:val="en-US" w:eastAsia="zh-CN"/>
              </w:rPr>
            </w:pPr>
            <w:r>
              <w:rPr>
                <w:rFonts w:hint="eastAsia" w:eastAsia="宋体" w:cs="宋体"/>
                <w:sz w:val="24"/>
                <w:szCs w:val="24"/>
                <w:lang w:val="en-US" w:eastAsia="zh-CN"/>
              </w:rPr>
              <w:t>小计</w:t>
            </w:r>
            <w:r>
              <w:rPr>
                <w:rFonts w:hint="eastAsia" w:ascii="宋体" w:hAnsi="宋体" w:eastAsia="宋体" w:cs="宋体"/>
                <w:sz w:val="24"/>
                <w:szCs w:val="24"/>
                <w:lang w:val="en-US" w:eastAsia="zh-CN"/>
              </w:rPr>
              <w:t>（万元）</w:t>
            </w:r>
          </w:p>
        </w:tc>
        <w:tc>
          <w:tcPr>
            <w:tcW w:w="559" w:type="pct"/>
            <w:shd w:val="clear" w:color="auto" w:fill="auto"/>
            <w:vAlign w:val="center"/>
          </w:tcPr>
          <w:p w14:paraId="6178F1F7">
            <w:pPr>
              <w:keepNext w:val="0"/>
              <w:keepLines w:val="0"/>
              <w:widowControl/>
              <w:suppressLineNumbers w:val="0"/>
              <w:spacing w:before="0" w:beforeAutospacing="0" w:after="0" w:afterAutospacing="0"/>
              <w:ind w:left="0" w:right="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49.9114</w:t>
            </w:r>
          </w:p>
        </w:tc>
      </w:tr>
    </w:tbl>
    <w:p w14:paraId="6BC590C4">
      <w:pPr>
        <w:pStyle w:val="24"/>
        <w:widowControl/>
        <w:spacing w:line="360" w:lineRule="auto"/>
        <w:ind w:firstLine="482" w:firstLineChars="200"/>
        <w:jc w:val="both"/>
        <w:outlineLvl w:val="2"/>
        <w:rPr>
          <w:rFonts w:hint="eastAsia" w:ascii="宋体" w:hAnsi="宋体" w:eastAsia="宋体" w:cs="宋体"/>
          <w:b/>
          <w:bCs/>
          <w:color w:val="auto"/>
          <w:sz w:val="24"/>
          <w:szCs w:val="24"/>
          <w:highlight w:val="none"/>
          <w:lang w:val="en-US" w:eastAsia="zh-CN"/>
        </w:rPr>
      </w:pPr>
      <w:r>
        <w:rPr>
          <w:rStyle w:val="20"/>
          <w:rFonts w:ascii="宋体" w:hAnsi="宋体"/>
          <w:color w:val="auto"/>
          <w:sz w:val="24"/>
          <w:szCs w:val="24"/>
          <w:highlight w:val="none"/>
          <w:shd w:val="clear" w:color="auto" w:fill="FFFFFF"/>
        </w:rPr>
        <w:t>注：</w:t>
      </w:r>
      <w:r>
        <w:rPr>
          <w:rStyle w:val="20"/>
          <w:rFonts w:hint="eastAsia" w:ascii="宋体" w:hAnsi="宋体"/>
          <w:color w:val="auto"/>
          <w:sz w:val="24"/>
          <w:szCs w:val="24"/>
          <w:highlight w:val="none"/>
          <w:shd w:val="clear" w:color="auto" w:fill="FFFFFF"/>
          <w:lang w:eastAsia="zh-CN"/>
        </w:rPr>
        <w:t>（</w:t>
      </w:r>
      <w:r>
        <w:rPr>
          <w:rStyle w:val="20"/>
          <w:rFonts w:hint="eastAsia" w:ascii="宋体" w:hAnsi="宋体"/>
          <w:color w:val="auto"/>
          <w:sz w:val="24"/>
          <w:szCs w:val="24"/>
          <w:highlight w:val="none"/>
          <w:shd w:val="clear" w:color="auto" w:fill="FFFFFF"/>
          <w:lang w:val="en-US" w:eastAsia="zh-CN"/>
        </w:rPr>
        <w:t>1</w:t>
      </w:r>
      <w:r>
        <w:rPr>
          <w:rStyle w:val="20"/>
          <w:rFonts w:hint="eastAsia" w:ascii="宋体" w:hAnsi="宋体"/>
          <w:color w:val="auto"/>
          <w:sz w:val="24"/>
          <w:szCs w:val="24"/>
          <w:highlight w:val="none"/>
          <w:shd w:val="clear" w:color="auto" w:fill="FFFFFF"/>
          <w:lang w:eastAsia="zh-CN"/>
        </w:rPr>
        <w:t>）投标人须承诺所投产品国家若有强制性3C认证要求的，该产品满足国家3C强制要求，</w:t>
      </w:r>
      <w:r>
        <w:rPr>
          <w:rFonts w:hint="eastAsia" w:ascii="宋体" w:hAnsi="宋体" w:eastAsia="宋体" w:cs="宋体"/>
          <w:b/>
          <w:bCs/>
          <w:color w:val="auto"/>
          <w:sz w:val="24"/>
          <w:szCs w:val="24"/>
          <w:highlight w:val="none"/>
          <w:lang w:val="en-US" w:eastAsia="zh-CN"/>
        </w:rPr>
        <w:t>投标人须在投标文件技术和商务部分提供单独专项承诺函并加盖投标人公章，否则视为无效投标。</w:t>
      </w:r>
    </w:p>
    <w:p w14:paraId="5148E870">
      <w:pPr>
        <w:pStyle w:val="24"/>
        <w:widowControl/>
        <w:spacing w:line="360" w:lineRule="auto"/>
        <w:ind w:firstLine="482" w:firstLineChars="200"/>
        <w:jc w:val="both"/>
        <w:outlineLvl w:val="2"/>
        <w:rPr>
          <w:rFonts w:hint="default" w:ascii="宋体" w:hAnsi="宋体" w:eastAsia="宋体" w:cs="宋体"/>
          <w:b/>
          <w:bCs/>
          <w:color w:val="auto"/>
          <w:sz w:val="24"/>
          <w:szCs w:val="24"/>
          <w:highlight w:val="none"/>
          <w:lang w:val="en-US" w:eastAsia="zh-CN"/>
        </w:rPr>
      </w:pPr>
      <w:r>
        <w:rPr>
          <w:rStyle w:val="20"/>
          <w:rFonts w:hint="eastAsia" w:ascii="宋体" w:hAnsi="宋体"/>
          <w:color w:val="auto"/>
          <w:sz w:val="24"/>
          <w:szCs w:val="24"/>
          <w:highlight w:val="none"/>
          <w:shd w:val="clear" w:color="auto" w:fill="FFFFFF"/>
          <w:lang w:eastAsia="zh-CN"/>
        </w:rPr>
        <w:t>（</w:t>
      </w:r>
      <w:r>
        <w:rPr>
          <w:rStyle w:val="20"/>
          <w:rFonts w:hint="eastAsia" w:ascii="宋体" w:hAnsi="宋体"/>
          <w:color w:val="auto"/>
          <w:sz w:val="24"/>
          <w:szCs w:val="24"/>
          <w:highlight w:val="none"/>
          <w:shd w:val="clear" w:color="auto" w:fill="FFFFFF"/>
          <w:lang w:val="en-US" w:eastAsia="zh-CN"/>
        </w:rPr>
        <w:t>2</w:t>
      </w:r>
      <w:r>
        <w:rPr>
          <w:rStyle w:val="20"/>
          <w:rFonts w:hint="eastAsia" w:ascii="宋体" w:hAnsi="宋体"/>
          <w:color w:val="auto"/>
          <w:sz w:val="24"/>
          <w:szCs w:val="24"/>
          <w:highlight w:val="none"/>
          <w:shd w:val="clear" w:color="auto" w:fill="FFFFFF"/>
          <w:lang w:eastAsia="zh-CN"/>
        </w:rPr>
        <w:t>）</w:t>
      </w:r>
      <w:r>
        <w:rPr>
          <w:rFonts w:hint="eastAsia" w:ascii="宋体" w:hAnsi="宋体" w:eastAsia="宋体" w:cs="宋体"/>
          <w:b/>
          <w:bCs/>
          <w:color w:val="auto"/>
          <w:sz w:val="24"/>
          <w:szCs w:val="24"/>
          <w:highlight w:val="none"/>
          <w:lang w:val="en-US" w:eastAsia="zh-CN"/>
        </w:rPr>
        <w:t>根据《财政部、发展改革委、生态环境部、市场监督总局关于调整优化节能产品、环境标志产品政府采购执行机制的通知》（财库〔2019〕9号）的规定，按《关于印发节能产品政府采购品目清单的通知》（财库〔2019〕19号）执行，本次采购货物属政府强制采购节能产品①4.8分拣查验系统：序号2.1扫描工作站、序号3.2同屏比对工作站、3.8查验工作站；②4.9视频监控系统：序号7 LCD显示器；③4.10卡口管理系统：序号3.2出入口控制终端、4.3LED车道悬挂显示屏，须提供有效期内的节能产品认证证书复印件。</w:t>
      </w:r>
    </w:p>
    <w:p w14:paraId="0D6DE971">
      <w:pPr>
        <w:pStyle w:val="24"/>
        <w:widowControl/>
        <w:spacing w:line="360" w:lineRule="auto"/>
        <w:ind w:firstLine="482" w:firstLineChars="200"/>
        <w:jc w:val="both"/>
        <w:outlineLvl w:val="2"/>
        <w:rPr>
          <w:rFonts w:hint="eastAsia" w:ascii="宋体" w:hAnsi="宋体" w:eastAsia="宋体" w:cs="宋体"/>
          <w:b/>
          <w:color w:val="auto"/>
          <w:sz w:val="24"/>
          <w:szCs w:val="24"/>
          <w:highlight w:val="none"/>
          <w:shd w:val="clear" w:fill="FFFFFF"/>
        </w:rPr>
      </w:pPr>
      <w:r>
        <w:rPr>
          <w:rFonts w:hint="eastAsia" w:ascii="宋体" w:hAnsi="宋体" w:eastAsia="宋体" w:cs="宋体"/>
          <w:b/>
          <w:bCs/>
          <w:color w:val="auto"/>
          <w:sz w:val="24"/>
          <w:szCs w:val="24"/>
          <w:highlight w:val="none"/>
          <w:lang w:val="en-US" w:eastAsia="zh-CN"/>
        </w:rPr>
        <w:t>（3）投标人所投产品若有负偏离的，须在“二、技术和</w:t>
      </w:r>
      <w:r>
        <w:rPr>
          <w:rStyle w:val="20"/>
          <w:rFonts w:hint="eastAsia" w:ascii="宋体" w:hAnsi="宋体"/>
          <w:color w:val="auto"/>
          <w:sz w:val="24"/>
          <w:szCs w:val="24"/>
          <w:highlight w:val="none"/>
          <w:shd w:val="clear" w:color="auto" w:fill="FFFFFF"/>
          <w:lang w:eastAsia="zh-CN"/>
        </w:rPr>
        <w:t>服务要求响应表”中明确负偏离的具体指标项，以便</w:t>
      </w:r>
      <w:r>
        <w:rPr>
          <w:rFonts w:hint="eastAsia" w:ascii="宋体" w:hAnsi="宋体" w:eastAsia="宋体" w:cs="宋体"/>
          <w:b/>
          <w:color w:val="auto"/>
          <w:sz w:val="24"/>
          <w:szCs w:val="24"/>
          <w:highlight w:val="none"/>
          <w:shd w:val="clear" w:fill="FFFFFF"/>
        </w:rPr>
        <w:t>评标委员会评审。</w:t>
      </w:r>
    </w:p>
    <w:p w14:paraId="0BE83E73">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color w:val="auto"/>
          <w:kern w:val="0"/>
          <w:sz w:val="24"/>
          <w:szCs w:val="24"/>
          <w:highlight w:val="none"/>
          <w:shd w:val="clear" w:fill="FFFFFF"/>
          <w:lang w:val="en-US" w:eastAsia="zh-CN" w:bidi="ar-SA"/>
        </w:rPr>
      </w:pPr>
      <w:r>
        <w:rPr>
          <w:rFonts w:hint="eastAsia" w:ascii="宋体" w:hAnsi="宋体" w:eastAsia="宋体" w:cs="宋体"/>
          <w:b/>
          <w:color w:val="auto"/>
          <w:kern w:val="0"/>
          <w:sz w:val="24"/>
          <w:szCs w:val="24"/>
          <w:highlight w:val="none"/>
          <w:shd w:val="clear" w:fill="FFFFFF"/>
          <w:lang w:val="en-US" w:eastAsia="zh-CN" w:bidi="ar-SA"/>
        </w:rPr>
        <w:t>（4）以上所有产品中有涉及包含但不限于规格、尺寸、重量等有固定参数的，在不影响技术指标的情况下允许偏离±2％，技术参数中有单独要求的以技术参数中的为准。</w:t>
      </w:r>
    </w:p>
    <w:p w14:paraId="369C175D">
      <w:pPr>
        <w:pStyle w:val="24"/>
        <w:spacing w:line="360" w:lineRule="auto"/>
        <w:jc w:val="both"/>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三、商务要求（</w:t>
      </w:r>
      <w:r>
        <w:rPr>
          <w:rFonts w:asciiTheme="minorEastAsia" w:hAnsiTheme="minorEastAsia" w:cstheme="minorEastAsia"/>
          <w:b/>
          <w:color w:val="auto"/>
          <w:sz w:val="24"/>
          <w:szCs w:val="24"/>
          <w:highlight w:val="none"/>
          <w:lang w:eastAsia="zh-CN"/>
        </w:rPr>
        <w:t>商务内容</w:t>
      </w:r>
      <w:r>
        <w:rPr>
          <w:rFonts w:asciiTheme="minorEastAsia" w:hAnsiTheme="minorEastAsia" w:cstheme="minorEastAsia"/>
          <w:b/>
          <w:color w:val="auto"/>
          <w:sz w:val="24"/>
          <w:szCs w:val="24"/>
          <w:highlight w:val="none"/>
        </w:rPr>
        <w:t>为不允许负偏离的实质性要求）</w:t>
      </w:r>
    </w:p>
    <w:p w14:paraId="507480E4">
      <w:pPr>
        <w:pStyle w:val="24"/>
        <w:pageBreakBefore w:val="0"/>
        <w:kinsoku/>
        <w:wordWrap/>
        <w:overflowPunct/>
        <w:topLinePunct w:val="0"/>
        <w:autoSpaceDE/>
        <w:autoSpaceDN/>
        <w:bidi w:val="0"/>
        <w:spacing w:line="360" w:lineRule="auto"/>
        <w:ind w:leftChars="0"/>
        <w:textAlignment w:val="auto"/>
        <w:rPr>
          <w:rFonts w:hint="default" w:asciiTheme="minorEastAsia" w:hAnsiTheme="minorEastAsia" w:cstheme="minorEastAsia"/>
          <w:color w:val="auto"/>
          <w:sz w:val="24"/>
          <w:szCs w:val="24"/>
          <w:highlight w:val="none"/>
        </w:rPr>
      </w:pPr>
      <w:r>
        <w:rPr>
          <w:rFonts w:hint="eastAsia" w:asciiTheme="minorEastAsia" w:hAnsiTheme="minorEastAsia" w:cstheme="minorEastAsia"/>
          <w:b/>
          <w:bCs/>
          <w:color w:val="auto"/>
          <w:sz w:val="24"/>
          <w:szCs w:val="24"/>
          <w:highlight w:val="none"/>
          <w:lang w:eastAsia="zh-CN"/>
        </w:rPr>
        <w:t>采购包</w:t>
      </w:r>
      <w:r>
        <w:rPr>
          <w:rFonts w:asciiTheme="minorEastAsia" w:hAnsiTheme="minorEastAsia" w:cstheme="minorEastAsia"/>
          <w:b/>
          <w:bCs/>
          <w:color w:val="auto"/>
          <w:sz w:val="24"/>
          <w:szCs w:val="24"/>
          <w:highlight w:val="none"/>
          <w:lang w:eastAsia="zh-CN"/>
        </w:rPr>
        <w:t>1</w:t>
      </w:r>
      <w:r>
        <w:rPr>
          <w:rFonts w:asciiTheme="minorEastAsia" w:hAnsiTheme="minorEastAsia" w:cstheme="minorEastAsia"/>
          <w:b/>
          <w:bCs/>
          <w:color w:val="auto"/>
          <w:sz w:val="24"/>
          <w:szCs w:val="24"/>
          <w:highlight w:val="none"/>
        </w:rPr>
        <w:t>：</w:t>
      </w:r>
    </w:p>
    <w:tbl>
      <w:tblPr>
        <w:tblStyle w:val="17"/>
        <w:tblpPr w:leftFromText="180" w:rightFromText="180" w:vertAnchor="text" w:tblpXSpec="center" w:tblpY="1"/>
        <w:tblOverlap w:val="never"/>
        <w:tblW w:w="931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60"/>
        <w:gridCol w:w="2016"/>
        <w:gridCol w:w="6236"/>
      </w:tblGrid>
      <w:tr w14:paraId="656E50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03" w:hRule="exact"/>
        </w:trPr>
        <w:tc>
          <w:tcPr>
            <w:tcW w:w="1060" w:type="dxa"/>
            <w:vAlign w:val="center"/>
          </w:tcPr>
          <w:p w14:paraId="377494CA">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序号</w:t>
            </w:r>
          </w:p>
        </w:tc>
        <w:tc>
          <w:tcPr>
            <w:tcW w:w="2016" w:type="dxa"/>
            <w:vAlign w:val="center"/>
          </w:tcPr>
          <w:p w14:paraId="01436B91">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类型</w:t>
            </w:r>
          </w:p>
        </w:tc>
        <w:tc>
          <w:tcPr>
            <w:tcW w:w="6236" w:type="dxa"/>
            <w:vAlign w:val="center"/>
          </w:tcPr>
          <w:p w14:paraId="46ACF098">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b/>
                <w:bCs/>
                <w:color w:val="auto"/>
                <w:sz w:val="24"/>
                <w:highlight w:val="none"/>
              </w:rPr>
            </w:pPr>
            <w:r>
              <w:rPr>
                <w:rFonts w:hint="eastAsia" w:asciiTheme="minorEastAsia" w:hAnsiTheme="minorEastAsia" w:cstheme="minorEastAsia"/>
                <w:b/>
                <w:bCs/>
                <w:color w:val="auto"/>
                <w:sz w:val="24"/>
                <w:highlight w:val="none"/>
              </w:rPr>
              <w:t>要求</w:t>
            </w:r>
          </w:p>
        </w:tc>
      </w:tr>
      <w:tr w14:paraId="58F25A5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91" w:hRule="exact"/>
        </w:trPr>
        <w:tc>
          <w:tcPr>
            <w:tcW w:w="1060" w:type="dxa"/>
            <w:vAlign w:val="center"/>
          </w:tcPr>
          <w:p w14:paraId="5B4DB240">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1</w:t>
            </w:r>
          </w:p>
        </w:tc>
        <w:tc>
          <w:tcPr>
            <w:tcW w:w="2016" w:type="dxa"/>
            <w:vAlign w:val="center"/>
          </w:tcPr>
          <w:p w14:paraId="5FF9FE55">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eastAsia="zh-CN"/>
              </w:rPr>
              <w:t>交付时间</w:t>
            </w:r>
          </w:p>
        </w:tc>
        <w:tc>
          <w:tcPr>
            <w:tcW w:w="6236" w:type="dxa"/>
            <w:vAlign w:val="center"/>
          </w:tcPr>
          <w:p w14:paraId="7B61C184">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lef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本项目建设工期为</w:t>
            </w:r>
            <w:r>
              <w:rPr>
                <w:rFonts w:hint="eastAsia" w:asciiTheme="minorEastAsia" w:hAnsiTheme="minorEastAsia" w:cstheme="minorEastAsia"/>
                <w:color w:val="auto"/>
                <w:sz w:val="24"/>
                <w:highlight w:val="none"/>
                <w:lang w:val="en-US" w:eastAsia="zh-CN"/>
              </w:rPr>
              <w:t>2</w:t>
            </w:r>
            <w:r>
              <w:rPr>
                <w:rFonts w:hint="eastAsia" w:asciiTheme="minorEastAsia" w:hAnsiTheme="minorEastAsia" w:cstheme="minorEastAsia"/>
                <w:color w:val="auto"/>
                <w:sz w:val="24"/>
                <w:highlight w:val="none"/>
              </w:rPr>
              <w:t>个月,以合同签订之日为项目建设起始时间点。</w:t>
            </w:r>
          </w:p>
        </w:tc>
      </w:tr>
      <w:tr w14:paraId="17B672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18" w:hRule="exact"/>
        </w:trPr>
        <w:tc>
          <w:tcPr>
            <w:tcW w:w="1060" w:type="dxa"/>
            <w:vAlign w:val="center"/>
          </w:tcPr>
          <w:p w14:paraId="795B860B">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2</w:t>
            </w:r>
          </w:p>
        </w:tc>
        <w:tc>
          <w:tcPr>
            <w:tcW w:w="2016" w:type="dxa"/>
            <w:vAlign w:val="center"/>
          </w:tcPr>
          <w:p w14:paraId="1A9335D3">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eastAsia="zh-CN"/>
              </w:rPr>
              <w:t>交付地点</w:t>
            </w:r>
          </w:p>
        </w:tc>
        <w:tc>
          <w:tcPr>
            <w:tcW w:w="6236" w:type="dxa"/>
            <w:vAlign w:val="center"/>
          </w:tcPr>
          <w:p w14:paraId="0E845731">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left"/>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采购人指定地点。</w:t>
            </w:r>
          </w:p>
        </w:tc>
      </w:tr>
      <w:tr w14:paraId="7F6173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25" w:hRule="exact"/>
        </w:trPr>
        <w:tc>
          <w:tcPr>
            <w:tcW w:w="1060" w:type="dxa"/>
            <w:vAlign w:val="center"/>
          </w:tcPr>
          <w:p w14:paraId="7100098A">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3</w:t>
            </w:r>
          </w:p>
        </w:tc>
        <w:tc>
          <w:tcPr>
            <w:tcW w:w="2016" w:type="dxa"/>
            <w:vAlign w:val="center"/>
          </w:tcPr>
          <w:p w14:paraId="4DDF1A41">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eastAsia="zh-CN"/>
              </w:rPr>
              <w:t>交付条件</w:t>
            </w:r>
          </w:p>
        </w:tc>
        <w:tc>
          <w:tcPr>
            <w:tcW w:w="6236" w:type="dxa"/>
            <w:vAlign w:val="center"/>
          </w:tcPr>
          <w:p w14:paraId="76F17E9D">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left"/>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按照招标文件要求及合同要求交付。</w:t>
            </w:r>
          </w:p>
        </w:tc>
      </w:tr>
      <w:tr w14:paraId="1FE368F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1" w:hRule="exact"/>
        </w:trPr>
        <w:tc>
          <w:tcPr>
            <w:tcW w:w="1060" w:type="dxa"/>
            <w:vAlign w:val="center"/>
          </w:tcPr>
          <w:p w14:paraId="5D3A494D">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4</w:t>
            </w:r>
          </w:p>
        </w:tc>
        <w:tc>
          <w:tcPr>
            <w:tcW w:w="2016" w:type="dxa"/>
            <w:vAlign w:val="center"/>
          </w:tcPr>
          <w:p w14:paraId="752255B0">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cstheme="minorEastAsia"/>
                <w:color w:val="auto"/>
                <w:sz w:val="24"/>
                <w:highlight w:val="none"/>
                <w:lang w:eastAsia="zh-CN"/>
              </w:rPr>
            </w:pPr>
            <w:r>
              <w:rPr>
                <w:rFonts w:hint="eastAsia" w:asciiTheme="minorEastAsia" w:hAnsiTheme="minorEastAsia" w:cstheme="minorEastAsia"/>
                <w:color w:val="auto"/>
                <w:sz w:val="24"/>
                <w:highlight w:val="none"/>
                <w:lang w:val="en-US" w:eastAsia="zh-CN"/>
              </w:rPr>
              <w:t>是否邀请投标人参与验收：</w:t>
            </w:r>
          </w:p>
        </w:tc>
        <w:tc>
          <w:tcPr>
            <w:tcW w:w="6236" w:type="dxa"/>
            <w:vAlign w:val="center"/>
          </w:tcPr>
          <w:p w14:paraId="764DA6DA">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left"/>
              <w:textAlignment w:val="auto"/>
              <w:rPr>
                <w:rFonts w:hint="eastAsia"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lang w:val="en-US" w:eastAsia="zh-CN"/>
              </w:rPr>
              <w:t>否</w:t>
            </w:r>
          </w:p>
        </w:tc>
      </w:tr>
      <w:tr w14:paraId="5990308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008" w:hRule="exact"/>
        </w:trPr>
        <w:tc>
          <w:tcPr>
            <w:tcW w:w="1060" w:type="dxa"/>
            <w:vAlign w:val="center"/>
          </w:tcPr>
          <w:p w14:paraId="70BD3892">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val="en-US" w:eastAsia="zh-CN"/>
              </w:rPr>
              <w:t>5</w:t>
            </w:r>
          </w:p>
        </w:tc>
        <w:tc>
          <w:tcPr>
            <w:tcW w:w="2016" w:type="dxa"/>
            <w:vAlign w:val="center"/>
          </w:tcPr>
          <w:p w14:paraId="7B419B12">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履约验收方式</w:t>
            </w:r>
          </w:p>
        </w:tc>
        <w:tc>
          <w:tcPr>
            <w:tcW w:w="6236" w:type="dxa"/>
            <w:vAlign w:val="center"/>
          </w:tcPr>
          <w:p w14:paraId="177A6551">
            <w:pPr>
              <w:pStyle w:val="24"/>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按</w:t>
            </w:r>
            <w:r>
              <w:rPr>
                <w:rFonts w:asciiTheme="minorEastAsia" w:hAnsiTheme="minorEastAsia" w:cstheme="minorEastAsia"/>
                <w:color w:val="auto"/>
                <w:sz w:val="24"/>
                <w:szCs w:val="24"/>
                <w:highlight w:val="none"/>
                <w:lang w:eastAsia="zh-CN"/>
              </w:rPr>
              <w:t>招标文件</w:t>
            </w:r>
            <w:r>
              <w:rPr>
                <w:rFonts w:asciiTheme="minorEastAsia" w:hAnsiTheme="minorEastAsia" w:cstheme="minorEastAsia"/>
                <w:color w:val="auto"/>
                <w:sz w:val="24"/>
                <w:szCs w:val="24"/>
                <w:highlight w:val="none"/>
              </w:rPr>
              <w:t>、</w:t>
            </w:r>
            <w:r>
              <w:rPr>
                <w:rFonts w:asciiTheme="minorEastAsia" w:hAnsiTheme="minorEastAsia" w:cstheme="minorEastAsia"/>
                <w:color w:val="auto"/>
                <w:sz w:val="24"/>
                <w:szCs w:val="24"/>
                <w:highlight w:val="none"/>
                <w:lang w:eastAsia="zh-CN"/>
              </w:rPr>
              <w:t>中标人投标文件</w:t>
            </w:r>
            <w:r>
              <w:rPr>
                <w:rFonts w:asciiTheme="minorEastAsia" w:hAnsiTheme="minorEastAsia" w:cstheme="minorEastAsia"/>
                <w:color w:val="auto"/>
                <w:sz w:val="24"/>
                <w:szCs w:val="24"/>
                <w:highlight w:val="none"/>
              </w:rPr>
              <w:t>、合同及国家相关规定执行</w:t>
            </w:r>
            <w:r>
              <w:rPr>
                <w:rFonts w:asciiTheme="minorEastAsia" w:hAnsiTheme="minorEastAsia" w:cstheme="minorEastAsia"/>
                <w:color w:val="auto"/>
                <w:sz w:val="24"/>
                <w:szCs w:val="24"/>
                <w:highlight w:val="none"/>
                <w:lang w:eastAsia="zh-CN"/>
              </w:rPr>
              <w:t>。</w:t>
            </w:r>
          </w:p>
        </w:tc>
      </w:tr>
      <w:tr w14:paraId="1B8343E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013" w:hRule="exact"/>
        </w:trPr>
        <w:tc>
          <w:tcPr>
            <w:tcW w:w="1060" w:type="dxa"/>
            <w:vAlign w:val="center"/>
          </w:tcPr>
          <w:p w14:paraId="5A27EC59">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cstheme="minorEastAsia"/>
                <w:color w:val="auto"/>
                <w:sz w:val="24"/>
                <w:highlight w:val="none"/>
                <w:lang w:val="en-US" w:eastAsia="zh-CN"/>
              </w:rPr>
              <w:t>6</w:t>
            </w:r>
          </w:p>
        </w:tc>
        <w:tc>
          <w:tcPr>
            <w:tcW w:w="2016" w:type="dxa"/>
            <w:vAlign w:val="center"/>
          </w:tcPr>
          <w:p w14:paraId="64301B97">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eastAsia="zh-CN"/>
              </w:rPr>
              <w:t>履约保证金</w:t>
            </w:r>
          </w:p>
        </w:tc>
        <w:tc>
          <w:tcPr>
            <w:tcW w:w="6236" w:type="dxa"/>
            <w:vAlign w:val="center"/>
          </w:tcPr>
          <w:p w14:paraId="4E38872B">
            <w:pPr>
              <w:pStyle w:val="24"/>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jc w:val="both"/>
              <w:textAlignment w:val="auto"/>
              <w:rPr>
                <w:rFonts w:asciiTheme="minorEastAsia" w:hAnsiTheme="minorEastAsia" w:cstheme="minorEastAsia"/>
                <w:color w:val="auto"/>
                <w:sz w:val="24"/>
                <w:szCs w:val="24"/>
                <w:highlight w:val="none"/>
              </w:rPr>
            </w:pPr>
            <w:r>
              <w:rPr>
                <w:rFonts w:ascii="宋体" w:hAnsi="宋体" w:eastAsia="宋体" w:cs="宋体"/>
                <w:b w:val="0"/>
                <w:bCs w:val="0"/>
                <w:color w:val="auto"/>
                <w:spacing w:val="0"/>
                <w:kern w:val="0"/>
                <w:sz w:val="24"/>
                <w:szCs w:val="24"/>
                <w:highlight w:val="none"/>
                <w:lang w:val="en-US" w:eastAsia="zh-CN" w:bidi="ar"/>
              </w:rPr>
              <w:t>本项目的履约保证金为</w:t>
            </w:r>
            <w:r>
              <w:rPr>
                <w:rFonts w:hint="eastAsia" w:ascii="宋体" w:hAnsi="宋体" w:eastAsia="宋体" w:cs="宋体"/>
                <w:b w:val="0"/>
                <w:bCs w:val="0"/>
                <w:color w:val="auto"/>
                <w:spacing w:val="0"/>
                <w:kern w:val="0"/>
                <w:sz w:val="24"/>
                <w:szCs w:val="24"/>
                <w:highlight w:val="none"/>
                <w:u w:val="single"/>
                <w:lang w:val="en-US" w:eastAsia="zh-CN" w:bidi="ar"/>
              </w:rPr>
              <w:t>合同金额</w:t>
            </w:r>
            <w:r>
              <w:rPr>
                <w:rFonts w:ascii="宋体" w:hAnsi="宋体" w:eastAsia="宋体" w:cs="宋体"/>
                <w:b w:val="0"/>
                <w:bCs w:val="0"/>
                <w:color w:val="auto"/>
                <w:spacing w:val="0"/>
                <w:kern w:val="0"/>
                <w:sz w:val="24"/>
                <w:szCs w:val="24"/>
                <w:highlight w:val="none"/>
                <w:u w:val="single"/>
                <w:lang w:val="en-US" w:eastAsia="zh-CN" w:bidi="ar"/>
              </w:rPr>
              <w:t>的</w:t>
            </w:r>
            <w:r>
              <w:rPr>
                <w:rFonts w:hint="eastAsia" w:ascii="宋体" w:hAnsi="宋体" w:eastAsia="宋体" w:cs="宋体"/>
                <w:b w:val="0"/>
                <w:bCs w:val="0"/>
                <w:color w:val="auto"/>
                <w:spacing w:val="0"/>
                <w:kern w:val="0"/>
                <w:sz w:val="24"/>
                <w:szCs w:val="24"/>
                <w:highlight w:val="none"/>
                <w:u w:val="single"/>
                <w:lang w:val="en-US" w:eastAsia="zh-CN" w:bidi="ar"/>
              </w:rPr>
              <w:t>10</w:t>
            </w:r>
            <w:r>
              <w:rPr>
                <w:rFonts w:ascii="宋体" w:hAnsi="宋体" w:eastAsia="宋体" w:cs="宋体"/>
                <w:b w:val="0"/>
                <w:bCs w:val="0"/>
                <w:color w:val="auto"/>
                <w:spacing w:val="0"/>
                <w:kern w:val="0"/>
                <w:sz w:val="24"/>
                <w:szCs w:val="24"/>
                <w:highlight w:val="none"/>
                <w:u w:val="single"/>
                <w:lang w:val="en-US" w:eastAsia="zh-CN" w:bidi="ar"/>
              </w:rPr>
              <w:t>%</w:t>
            </w:r>
            <w:r>
              <w:rPr>
                <w:rFonts w:ascii="宋体" w:hAnsi="宋体" w:eastAsia="宋体" w:cs="宋体"/>
                <w:b w:val="0"/>
                <w:bCs w:val="0"/>
                <w:color w:val="auto"/>
                <w:spacing w:val="0"/>
                <w:kern w:val="0"/>
                <w:sz w:val="24"/>
                <w:szCs w:val="24"/>
                <w:highlight w:val="none"/>
                <w:lang w:val="en-US" w:eastAsia="zh-CN" w:bidi="ar"/>
              </w:rPr>
              <w:t>，提交方式：</w:t>
            </w:r>
            <w:r>
              <w:rPr>
                <w:rFonts w:hint="eastAsia" w:ascii="宋体" w:hAnsi="宋体" w:eastAsia="宋体" w:cs="宋体"/>
                <w:b w:val="0"/>
                <w:bCs w:val="0"/>
                <w:color w:val="auto"/>
                <w:spacing w:val="0"/>
                <w:kern w:val="0"/>
                <w:sz w:val="24"/>
                <w:szCs w:val="24"/>
                <w:highlight w:val="none"/>
                <w:u w:val="single"/>
                <w:lang w:val="en-US" w:eastAsia="zh-CN" w:bidi="ar"/>
              </w:rPr>
              <w:t>银行保函、电汇、汇票和转账支票</w:t>
            </w:r>
            <w:r>
              <w:rPr>
                <w:rFonts w:ascii="宋体" w:hAnsi="宋体" w:eastAsia="宋体" w:cs="宋体"/>
                <w:b w:val="0"/>
                <w:bCs w:val="0"/>
                <w:color w:val="auto"/>
                <w:spacing w:val="0"/>
                <w:kern w:val="0"/>
                <w:sz w:val="24"/>
                <w:szCs w:val="24"/>
                <w:highlight w:val="none"/>
                <w:lang w:val="en-US" w:eastAsia="zh-CN" w:bidi="ar"/>
              </w:rPr>
              <w:t>，提交时间：</w:t>
            </w:r>
            <w:r>
              <w:rPr>
                <w:rFonts w:hint="eastAsia" w:ascii="宋体" w:hAnsi="宋体" w:eastAsia="宋体" w:cs="宋体"/>
                <w:b w:val="0"/>
                <w:bCs w:val="0"/>
                <w:color w:val="auto"/>
                <w:spacing w:val="0"/>
                <w:kern w:val="0"/>
                <w:sz w:val="24"/>
                <w:szCs w:val="24"/>
                <w:highlight w:val="none"/>
                <w:u w:val="single"/>
                <w:lang w:val="en-US" w:eastAsia="zh-CN" w:bidi="ar"/>
              </w:rPr>
              <w:t>合同签订前</w:t>
            </w:r>
            <w:r>
              <w:rPr>
                <w:rFonts w:ascii="宋体" w:hAnsi="宋体" w:eastAsia="宋体" w:cs="宋体"/>
                <w:b w:val="0"/>
                <w:bCs w:val="0"/>
                <w:color w:val="auto"/>
                <w:spacing w:val="0"/>
                <w:kern w:val="0"/>
                <w:sz w:val="24"/>
                <w:szCs w:val="24"/>
                <w:highlight w:val="none"/>
                <w:lang w:val="en-US" w:eastAsia="zh-CN" w:bidi="ar"/>
              </w:rPr>
              <w:t>，退还方式：</w:t>
            </w:r>
            <w:r>
              <w:rPr>
                <w:rFonts w:hint="eastAsia" w:ascii="宋体" w:hAnsi="宋体" w:eastAsia="宋体" w:cs="宋体"/>
                <w:b w:val="0"/>
                <w:bCs w:val="0"/>
                <w:color w:val="auto"/>
                <w:spacing w:val="0"/>
                <w:kern w:val="0"/>
                <w:sz w:val="24"/>
                <w:szCs w:val="24"/>
                <w:highlight w:val="none"/>
                <w:u w:val="single"/>
                <w:lang w:val="en-US" w:eastAsia="zh-CN" w:bidi="ar"/>
              </w:rPr>
              <w:t>待项目终验完成后，采购人于30个日历日内予以原额无息退还中标人。</w:t>
            </w:r>
          </w:p>
        </w:tc>
      </w:tr>
      <w:tr w14:paraId="0CD746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7" w:hRule="atLeast"/>
        </w:trPr>
        <w:tc>
          <w:tcPr>
            <w:tcW w:w="1060" w:type="dxa"/>
            <w:vMerge w:val="restart"/>
            <w:vAlign w:val="center"/>
          </w:tcPr>
          <w:p w14:paraId="5099CB00">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cstheme="minorEastAsia"/>
                <w:color w:val="auto"/>
                <w:sz w:val="24"/>
                <w:highlight w:val="none"/>
                <w:lang w:val="en-US" w:eastAsia="zh-CN"/>
              </w:rPr>
              <w:t>7</w:t>
            </w:r>
          </w:p>
        </w:tc>
        <w:tc>
          <w:tcPr>
            <w:tcW w:w="2016" w:type="dxa"/>
            <w:vMerge w:val="restart"/>
            <w:vAlign w:val="center"/>
          </w:tcPr>
          <w:p w14:paraId="708610A4">
            <w:pPr>
              <w:keepNext w:val="0"/>
              <w:keepLines w:val="0"/>
              <w:pageBreakBefore w:val="0"/>
              <w:suppressLineNumbers w:val="0"/>
              <w:kinsoku/>
              <w:wordWrap/>
              <w:overflowPunct/>
              <w:topLinePunct w:val="0"/>
              <w:autoSpaceDE/>
              <w:autoSpaceDN/>
              <w:bidi w:val="0"/>
              <w:spacing w:before="0" w:beforeAutospacing="0" w:after="0" w:afterAutospacing="0" w:line="360" w:lineRule="auto"/>
              <w:ind w:left="0" w:leftChars="0" w:right="0"/>
              <w:jc w:val="center"/>
              <w:textAlignment w:val="auto"/>
              <w:rPr>
                <w:rFonts w:hint="default" w:asciiTheme="minorEastAsia" w:hAnsiTheme="minorEastAsia" w:cstheme="minorEastAsia"/>
                <w:color w:val="auto"/>
                <w:sz w:val="24"/>
                <w:highlight w:val="none"/>
              </w:rPr>
            </w:pPr>
            <w:r>
              <w:rPr>
                <w:rFonts w:hint="eastAsia" w:asciiTheme="minorEastAsia" w:hAnsiTheme="minorEastAsia" w:cstheme="minorEastAsia"/>
                <w:color w:val="auto"/>
                <w:sz w:val="24"/>
                <w:highlight w:val="none"/>
              </w:rPr>
              <w:t>合同支付方式</w:t>
            </w:r>
          </w:p>
        </w:tc>
        <w:tc>
          <w:tcPr>
            <w:tcW w:w="6236" w:type="dxa"/>
            <w:vAlign w:val="center"/>
          </w:tcPr>
          <w:p w14:paraId="35677C10">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i w:val="0"/>
                <w:iCs w:val="0"/>
                <w:color w:val="auto"/>
                <w:kern w:val="0"/>
                <w:sz w:val="24"/>
                <w:szCs w:val="24"/>
                <w:highlight w:val="none"/>
                <w:u w:val="none"/>
                <w:shd w:val="clear" w:color="auto" w:fill="FFFFFF"/>
                <w:lang w:val="en-US" w:eastAsia="zh-CN" w:bidi="ar-SA"/>
              </w:rPr>
            </w:pPr>
            <w:r>
              <w:rPr>
                <w:rFonts w:hint="eastAsia" w:ascii="宋体" w:hAnsi="宋体" w:cs="宋体"/>
                <w:b w:val="0"/>
                <w:bCs w:val="0"/>
                <w:i w:val="0"/>
                <w:iCs w:val="0"/>
                <w:color w:val="auto"/>
                <w:sz w:val="24"/>
                <w:szCs w:val="24"/>
                <w:highlight w:val="none"/>
                <w:u w:val="none"/>
              </w:rPr>
              <w:t>双方合同签订并生效</w:t>
            </w:r>
            <w:r>
              <w:rPr>
                <w:rFonts w:hint="eastAsia" w:ascii="宋体" w:hAnsi="宋体" w:cs="宋体"/>
                <w:b w:val="0"/>
                <w:bCs w:val="0"/>
                <w:i w:val="0"/>
                <w:iCs w:val="0"/>
                <w:color w:val="auto"/>
                <w:sz w:val="24"/>
                <w:szCs w:val="24"/>
                <w:highlight w:val="none"/>
                <w:u w:val="none"/>
                <w:lang w:eastAsia="zh-CN"/>
              </w:rPr>
              <w:t>后</w:t>
            </w:r>
            <w:r>
              <w:rPr>
                <w:rFonts w:hint="eastAsia" w:ascii="宋体" w:hAnsi="宋体" w:cs="宋体"/>
                <w:b w:val="0"/>
                <w:bCs w:val="0"/>
                <w:i w:val="0"/>
                <w:iCs w:val="0"/>
                <w:color w:val="auto"/>
                <w:sz w:val="24"/>
                <w:szCs w:val="24"/>
                <w:highlight w:val="none"/>
                <w:u w:val="none"/>
              </w:rPr>
              <w:t>，中标人向采购人提供相应款项金额的增值税专用发票后，采购人于1</w:t>
            </w:r>
            <w:r>
              <w:rPr>
                <w:rFonts w:hint="eastAsia" w:ascii="宋体" w:hAnsi="宋体" w:cs="宋体"/>
                <w:b w:val="0"/>
                <w:bCs w:val="0"/>
                <w:i w:val="0"/>
                <w:iCs w:val="0"/>
                <w:color w:val="auto"/>
                <w:sz w:val="24"/>
                <w:szCs w:val="24"/>
                <w:highlight w:val="none"/>
                <w:u w:val="none"/>
                <w:lang w:val="en-US" w:eastAsia="zh-CN"/>
              </w:rPr>
              <w:t>5</w:t>
            </w:r>
            <w:r>
              <w:rPr>
                <w:rFonts w:hint="eastAsia" w:ascii="宋体" w:hAnsi="宋体" w:cs="宋体"/>
                <w:b w:val="0"/>
                <w:bCs w:val="0"/>
                <w:i w:val="0"/>
                <w:iCs w:val="0"/>
                <w:color w:val="auto"/>
                <w:sz w:val="24"/>
                <w:szCs w:val="24"/>
                <w:highlight w:val="none"/>
                <w:u w:val="none"/>
              </w:rPr>
              <w:t>个工作日内拨付合同总金额的</w:t>
            </w:r>
            <w:r>
              <w:rPr>
                <w:rFonts w:hint="eastAsia" w:ascii="宋体" w:hAnsi="宋体" w:cs="宋体"/>
                <w:b w:val="0"/>
                <w:bCs w:val="0"/>
                <w:i w:val="0"/>
                <w:iCs w:val="0"/>
                <w:color w:val="auto"/>
                <w:sz w:val="24"/>
                <w:szCs w:val="24"/>
                <w:highlight w:val="none"/>
                <w:u w:val="none"/>
                <w:lang w:val="en-US" w:eastAsia="zh-CN"/>
              </w:rPr>
              <w:t>30</w:t>
            </w:r>
            <w:r>
              <w:rPr>
                <w:rFonts w:hint="eastAsia" w:ascii="宋体" w:hAnsi="宋体" w:cs="宋体"/>
                <w:b w:val="0"/>
                <w:bCs w:val="0"/>
                <w:i w:val="0"/>
                <w:iCs w:val="0"/>
                <w:color w:val="auto"/>
                <w:sz w:val="24"/>
                <w:szCs w:val="24"/>
                <w:highlight w:val="none"/>
                <w:u w:val="none"/>
              </w:rPr>
              <w:t>%。</w:t>
            </w:r>
          </w:p>
        </w:tc>
      </w:tr>
      <w:tr w14:paraId="76238E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7" w:hRule="atLeast"/>
        </w:trPr>
        <w:tc>
          <w:tcPr>
            <w:tcW w:w="1060" w:type="dxa"/>
            <w:vMerge w:val="continue"/>
            <w:vAlign w:val="center"/>
          </w:tcPr>
          <w:p w14:paraId="54925AF7">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Fonts w:hint="default"/>
                <w:color w:val="auto"/>
              </w:rPr>
            </w:pPr>
          </w:p>
        </w:tc>
        <w:tc>
          <w:tcPr>
            <w:tcW w:w="2016" w:type="dxa"/>
            <w:vMerge w:val="continue"/>
            <w:vAlign w:val="center"/>
          </w:tcPr>
          <w:p w14:paraId="326D6196">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Fonts w:hint="default"/>
                <w:color w:val="auto"/>
              </w:rPr>
            </w:pPr>
          </w:p>
        </w:tc>
        <w:tc>
          <w:tcPr>
            <w:tcW w:w="6236" w:type="dxa"/>
            <w:vAlign w:val="center"/>
          </w:tcPr>
          <w:p w14:paraId="344739F8">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i w:val="0"/>
                <w:iCs w:val="0"/>
                <w:color w:val="auto"/>
                <w:kern w:val="0"/>
                <w:sz w:val="24"/>
                <w:szCs w:val="24"/>
                <w:highlight w:val="none"/>
                <w:u w:val="none"/>
                <w:shd w:val="clear" w:color="auto" w:fill="FFFFFF"/>
                <w:lang w:val="en-US" w:eastAsia="zh-CN" w:bidi="ar-SA"/>
              </w:rPr>
            </w:pPr>
            <w:r>
              <w:rPr>
                <w:rFonts w:hint="eastAsia" w:ascii="宋体" w:hAnsi="宋体" w:cs="宋体"/>
                <w:b w:val="0"/>
                <w:bCs w:val="0"/>
                <w:i w:val="0"/>
                <w:iCs w:val="0"/>
                <w:color w:val="auto"/>
                <w:sz w:val="24"/>
                <w:szCs w:val="24"/>
                <w:highlight w:val="none"/>
                <w:u w:val="none"/>
              </w:rPr>
              <w:t>项目通过初验，中标人向采购人提供相应款项金额的增值税专用发票后，采购人于1</w:t>
            </w:r>
            <w:r>
              <w:rPr>
                <w:rFonts w:hint="eastAsia" w:ascii="宋体" w:hAnsi="宋体" w:cs="宋体"/>
                <w:b w:val="0"/>
                <w:bCs w:val="0"/>
                <w:i w:val="0"/>
                <w:iCs w:val="0"/>
                <w:color w:val="auto"/>
                <w:sz w:val="24"/>
                <w:szCs w:val="24"/>
                <w:highlight w:val="none"/>
                <w:u w:val="none"/>
                <w:lang w:val="en-US" w:eastAsia="zh-CN"/>
              </w:rPr>
              <w:t>5</w:t>
            </w:r>
            <w:r>
              <w:rPr>
                <w:rFonts w:hint="eastAsia" w:ascii="宋体" w:hAnsi="宋体" w:cs="宋体"/>
                <w:b w:val="0"/>
                <w:bCs w:val="0"/>
                <w:i w:val="0"/>
                <w:iCs w:val="0"/>
                <w:color w:val="auto"/>
                <w:sz w:val="24"/>
                <w:szCs w:val="24"/>
                <w:highlight w:val="none"/>
                <w:u w:val="none"/>
              </w:rPr>
              <w:t>个工作日内拨付合同总金额的</w:t>
            </w:r>
            <w:r>
              <w:rPr>
                <w:rFonts w:hint="eastAsia" w:ascii="宋体" w:hAnsi="宋体" w:cs="宋体"/>
                <w:b w:val="0"/>
                <w:bCs w:val="0"/>
                <w:i w:val="0"/>
                <w:iCs w:val="0"/>
                <w:color w:val="auto"/>
                <w:sz w:val="24"/>
                <w:szCs w:val="24"/>
                <w:highlight w:val="none"/>
                <w:u w:val="none"/>
                <w:lang w:val="en-US" w:eastAsia="zh-CN"/>
              </w:rPr>
              <w:t>35</w:t>
            </w:r>
            <w:r>
              <w:rPr>
                <w:rFonts w:hint="eastAsia" w:ascii="宋体" w:hAnsi="宋体" w:cs="宋体"/>
                <w:b w:val="0"/>
                <w:bCs w:val="0"/>
                <w:i w:val="0"/>
                <w:iCs w:val="0"/>
                <w:color w:val="auto"/>
                <w:sz w:val="24"/>
                <w:szCs w:val="24"/>
                <w:highlight w:val="none"/>
                <w:u w:val="none"/>
              </w:rPr>
              <w:t>%。</w:t>
            </w:r>
          </w:p>
        </w:tc>
      </w:tr>
      <w:tr w14:paraId="6B0178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7" w:hRule="atLeast"/>
        </w:trPr>
        <w:tc>
          <w:tcPr>
            <w:tcW w:w="1060" w:type="dxa"/>
            <w:vMerge w:val="continue"/>
            <w:vAlign w:val="center"/>
          </w:tcPr>
          <w:p w14:paraId="1D631D34">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color w:val="auto"/>
                <w:kern w:val="0"/>
                <w:sz w:val="24"/>
                <w:szCs w:val="24"/>
                <w:highlight w:val="none"/>
                <w:shd w:val="clear" w:color="auto" w:fill="FFFFFF"/>
                <w:lang w:val="en-US" w:eastAsia="zh-CN" w:bidi="ar-SA"/>
              </w:rPr>
            </w:pPr>
          </w:p>
        </w:tc>
        <w:tc>
          <w:tcPr>
            <w:tcW w:w="2016" w:type="dxa"/>
            <w:vMerge w:val="continue"/>
            <w:vAlign w:val="center"/>
          </w:tcPr>
          <w:p w14:paraId="08EF4FB4">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color w:val="auto"/>
                <w:kern w:val="0"/>
                <w:sz w:val="24"/>
                <w:szCs w:val="24"/>
                <w:highlight w:val="none"/>
                <w:shd w:val="clear" w:color="auto" w:fill="FFFFFF"/>
                <w:lang w:val="en-US" w:eastAsia="zh-CN" w:bidi="ar-SA"/>
              </w:rPr>
            </w:pPr>
          </w:p>
        </w:tc>
        <w:tc>
          <w:tcPr>
            <w:tcW w:w="6236" w:type="dxa"/>
            <w:vAlign w:val="center"/>
          </w:tcPr>
          <w:p w14:paraId="5344739F">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Fonts w:hint="default" w:ascii="宋体" w:hAnsi="宋体" w:cs="宋体"/>
                <w:b w:val="0"/>
                <w:bCs w:val="0"/>
                <w:i w:val="0"/>
                <w:iCs w:val="0"/>
                <w:color w:val="auto"/>
                <w:sz w:val="24"/>
                <w:szCs w:val="24"/>
                <w:highlight w:val="none"/>
                <w:u w:val="none"/>
                <w:lang w:val="en-US" w:eastAsia="zh-CN"/>
              </w:rPr>
            </w:pPr>
            <w:r>
              <w:rPr>
                <w:rFonts w:hint="eastAsia" w:ascii="宋体" w:hAnsi="宋体" w:cs="宋体"/>
                <w:b w:val="0"/>
                <w:bCs w:val="0"/>
                <w:i w:val="0"/>
                <w:iCs w:val="0"/>
                <w:color w:val="auto"/>
                <w:sz w:val="24"/>
                <w:szCs w:val="24"/>
                <w:highlight w:val="none"/>
                <w:u w:val="none"/>
                <w:lang w:val="en-US" w:eastAsia="zh-CN"/>
              </w:rPr>
              <w:t>初验通过且</w:t>
            </w:r>
            <w:r>
              <w:rPr>
                <w:rFonts w:hint="eastAsia" w:ascii="宋体" w:hAnsi="宋体" w:cs="宋体"/>
                <w:b w:val="0"/>
                <w:bCs w:val="0"/>
                <w:i w:val="0"/>
                <w:iCs w:val="0"/>
                <w:color w:val="auto"/>
                <w:sz w:val="24"/>
                <w:szCs w:val="24"/>
                <w:highlight w:val="none"/>
                <w:u w:val="none"/>
              </w:rPr>
              <w:t>连续试运行3个月后开始进行项目终验，项目竣工并通过终验后，中标人向采购人提供剩余所有款项金额的增值税专用发票后，采购人于1</w:t>
            </w:r>
            <w:r>
              <w:rPr>
                <w:rFonts w:hint="eastAsia" w:ascii="宋体" w:hAnsi="宋体" w:cs="宋体"/>
                <w:b w:val="0"/>
                <w:bCs w:val="0"/>
                <w:i w:val="0"/>
                <w:iCs w:val="0"/>
                <w:color w:val="auto"/>
                <w:sz w:val="24"/>
                <w:szCs w:val="24"/>
                <w:highlight w:val="none"/>
                <w:u w:val="none"/>
                <w:lang w:val="en-US" w:eastAsia="zh-CN"/>
              </w:rPr>
              <w:t>5</w:t>
            </w:r>
            <w:r>
              <w:rPr>
                <w:rFonts w:hint="eastAsia" w:ascii="宋体" w:hAnsi="宋体" w:cs="宋体"/>
                <w:b w:val="0"/>
                <w:bCs w:val="0"/>
                <w:i w:val="0"/>
                <w:iCs w:val="0"/>
                <w:color w:val="auto"/>
                <w:sz w:val="24"/>
                <w:szCs w:val="24"/>
                <w:highlight w:val="none"/>
                <w:u w:val="none"/>
              </w:rPr>
              <w:t>个工作日内拨付合同总金额的</w:t>
            </w:r>
            <w:r>
              <w:rPr>
                <w:rFonts w:hint="eastAsia" w:ascii="宋体" w:hAnsi="宋体" w:cs="宋体"/>
                <w:b w:val="0"/>
                <w:bCs w:val="0"/>
                <w:i w:val="0"/>
                <w:iCs w:val="0"/>
                <w:color w:val="auto"/>
                <w:sz w:val="24"/>
                <w:szCs w:val="24"/>
                <w:highlight w:val="none"/>
                <w:u w:val="none"/>
                <w:lang w:val="en-US" w:eastAsia="zh-CN"/>
              </w:rPr>
              <w:t>30</w:t>
            </w:r>
            <w:r>
              <w:rPr>
                <w:rFonts w:hint="eastAsia" w:ascii="宋体" w:hAnsi="宋体" w:cs="宋体"/>
                <w:b w:val="0"/>
                <w:bCs w:val="0"/>
                <w:i w:val="0"/>
                <w:iCs w:val="0"/>
                <w:color w:val="auto"/>
                <w:sz w:val="24"/>
                <w:szCs w:val="24"/>
                <w:highlight w:val="none"/>
                <w:u w:val="none"/>
              </w:rPr>
              <w:t>%。</w:t>
            </w:r>
          </w:p>
        </w:tc>
      </w:tr>
      <w:tr w14:paraId="74E6317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17" w:hRule="atLeast"/>
        </w:trPr>
        <w:tc>
          <w:tcPr>
            <w:tcW w:w="1060" w:type="dxa"/>
            <w:vMerge w:val="continue"/>
            <w:vAlign w:val="center"/>
          </w:tcPr>
          <w:p w14:paraId="49A8B3AB">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color w:val="auto"/>
                <w:kern w:val="0"/>
                <w:sz w:val="24"/>
                <w:szCs w:val="24"/>
                <w:highlight w:val="none"/>
                <w:shd w:val="clear" w:color="auto" w:fill="FFFFFF"/>
                <w:lang w:val="en-US" w:eastAsia="zh-CN" w:bidi="ar-SA"/>
              </w:rPr>
            </w:pPr>
          </w:p>
        </w:tc>
        <w:tc>
          <w:tcPr>
            <w:tcW w:w="2016" w:type="dxa"/>
            <w:vMerge w:val="continue"/>
            <w:vAlign w:val="center"/>
          </w:tcPr>
          <w:p w14:paraId="2F541F06">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Style w:val="20"/>
                <w:rFonts w:hint="default" w:asciiTheme="minorEastAsia" w:hAnsiTheme="minorEastAsia" w:eastAsiaTheme="minorEastAsia" w:cstheme="minorEastAsia"/>
                <w:b w:val="0"/>
                <w:bCs w:val="0"/>
                <w:color w:val="auto"/>
                <w:kern w:val="0"/>
                <w:sz w:val="24"/>
                <w:szCs w:val="24"/>
                <w:highlight w:val="none"/>
                <w:shd w:val="clear" w:color="auto" w:fill="FFFFFF"/>
                <w:lang w:val="en-US" w:eastAsia="zh-CN" w:bidi="ar-SA"/>
              </w:rPr>
            </w:pPr>
          </w:p>
        </w:tc>
        <w:tc>
          <w:tcPr>
            <w:tcW w:w="6236" w:type="dxa"/>
            <w:vAlign w:val="center"/>
          </w:tcPr>
          <w:p w14:paraId="578811B7">
            <w:pPr>
              <w:keepNext w:val="0"/>
              <w:keepLines w:val="0"/>
              <w:pageBreakBefore w:val="0"/>
              <w:widowControl/>
              <w:suppressLineNumbers w:val="0"/>
              <w:kinsoku/>
              <w:wordWrap/>
              <w:overflowPunct/>
              <w:topLinePunct w:val="0"/>
              <w:autoSpaceDE/>
              <w:autoSpaceDN/>
              <w:bidi w:val="0"/>
              <w:spacing w:before="0" w:beforeAutospacing="0" w:after="0" w:afterAutospacing="0" w:line="360" w:lineRule="auto"/>
              <w:ind w:left="0" w:leftChars="0" w:right="0"/>
              <w:textAlignment w:val="auto"/>
              <w:rPr>
                <w:rFonts w:hint="default" w:ascii="宋体" w:hAnsi="宋体" w:cs="宋体"/>
                <w:b w:val="0"/>
                <w:bCs w:val="0"/>
                <w:i w:val="0"/>
                <w:iCs w:val="0"/>
                <w:color w:val="auto"/>
                <w:sz w:val="24"/>
                <w:szCs w:val="24"/>
                <w:highlight w:val="none"/>
                <w:u w:val="none"/>
                <w:lang w:val="en-US" w:eastAsia="zh-CN"/>
              </w:rPr>
            </w:pPr>
            <w:r>
              <w:rPr>
                <w:rFonts w:hint="default" w:ascii="宋体" w:hAnsi="宋体" w:cs="宋体"/>
                <w:b w:val="0"/>
                <w:bCs w:val="0"/>
                <w:i w:val="0"/>
                <w:iCs w:val="0"/>
                <w:color w:val="auto"/>
                <w:sz w:val="24"/>
                <w:szCs w:val="24"/>
                <w:highlight w:val="none"/>
                <w:u w:val="none"/>
                <w:lang w:val="en-US" w:eastAsia="zh-CN"/>
              </w:rPr>
              <w:t>终验通过之日起满一周年后，采购人于10个工作日内</w:t>
            </w:r>
            <w:r>
              <w:rPr>
                <w:rFonts w:hint="eastAsia" w:ascii="宋体" w:hAnsi="宋体" w:cs="宋体"/>
                <w:b w:val="0"/>
                <w:bCs w:val="0"/>
                <w:i w:val="0"/>
                <w:iCs w:val="0"/>
                <w:color w:val="auto"/>
                <w:sz w:val="24"/>
                <w:szCs w:val="24"/>
                <w:highlight w:val="none"/>
                <w:u w:val="none"/>
                <w:lang w:val="en-US" w:eastAsia="zh-CN"/>
              </w:rPr>
              <w:t>拨</w:t>
            </w:r>
            <w:r>
              <w:rPr>
                <w:rFonts w:hint="default" w:ascii="宋体" w:hAnsi="宋体" w:cs="宋体"/>
                <w:b w:val="0"/>
                <w:bCs w:val="0"/>
                <w:i w:val="0"/>
                <w:iCs w:val="0"/>
                <w:color w:val="auto"/>
                <w:sz w:val="24"/>
                <w:szCs w:val="24"/>
                <w:highlight w:val="none"/>
                <w:u w:val="none"/>
                <w:lang w:val="en-US" w:eastAsia="zh-CN"/>
              </w:rPr>
              <w:t>付合同总金额的</w:t>
            </w:r>
            <w:r>
              <w:rPr>
                <w:rFonts w:hint="eastAsia" w:ascii="宋体" w:hAnsi="宋体" w:cs="宋体"/>
                <w:b w:val="0"/>
                <w:bCs w:val="0"/>
                <w:i w:val="0"/>
                <w:iCs w:val="0"/>
                <w:color w:val="auto"/>
                <w:sz w:val="24"/>
                <w:szCs w:val="24"/>
                <w:highlight w:val="none"/>
                <w:u w:val="none"/>
                <w:lang w:val="en-US" w:eastAsia="zh-CN"/>
              </w:rPr>
              <w:t>5</w:t>
            </w:r>
            <w:r>
              <w:rPr>
                <w:rFonts w:hint="default" w:ascii="宋体" w:hAnsi="宋体" w:cs="宋体"/>
                <w:b w:val="0"/>
                <w:bCs w:val="0"/>
                <w:i w:val="0"/>
                <w:iCs w:val="0"/>
                <w:color w:val="auto"/>
                <w:sz w:val="24"/>
                <w:szCs w:val="24"/>
                <w:highlight w:val="none"/>
                <w:u w:val="none"/>
                <w:lang w:val="en-US" w:eastAsia="zh-CN"/>
              </w:rPr>
              <w:t>%</w:t>
            </w:r>
            <w:r>
              <w:rPr>
                <w:rFonts w:hint="eastAsia" w:ascii="宋体" w:hAnsi="宋体" w:cs="宋体"/>
                <w:b w:val="0"/>
                <w:bCs w:val="0"/>
                <w:i w:val="0"/>
                <w:iCs w:val="0"/>
                <w:color w:val="auto"/>
                <w:sz w:val="24"/>
                <w:szCs w:val="24"/>
                <w:highlight w:val="none"/>
                <w:u w:val="none"/>
                <w:lang w:val="en-US" w:eastAsia="zh-CN"/>
              </w:rPr>
              <w:t>。</w:t>
            </w:r>
          </w:p>
        </w:tc>
      </w:tr>
    </w:tbl>
    <w:p w14:paraId="6FB638E9">
      <w:pPr>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8.</w:t>
      </w:r>
      <w:r>
        <w:rPr>
          <w:rFonts w:hint="eastAsia" w:ascii="宋体" w:hAnsi="宋体" w:eastAsia="宋体" w:cs="宋体"/>
          <w:b/>
          <w:bCs/>
          <w:color w:val="auto"/>
          <w:sz w:val="24"/>
          <w:szCs w:val="24"/>
          <w:highlight w:val="none"/>
        </w:rPr>
        <w:t>验收要求</w:t>
      </w:r>
    </w:p>
    <w:p w14:paraId="65B8BA2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8.1</w:t>
      </w:r>
      <w:r>
        <w:rPr>
          <w:rFonts w:hint="eastAsia" w:ascii="宋体" w:hAnsi="宋体" w:eastAsia="宋体" w:cs="宋体"/>
          <w:color w:val="auto"/>
          <w:sz w:val="24"/>
          <w:szCs w:val="24"/>
          <w:highlight w:val="none"/>
        </w:rPr>
        <w:t>初步验收：</w:t>
      </w:r>
      <w:r>
        <w:rPr>
          <w:rFonts w:hint="eastAsia" w:ascii="宋体" w:hAnsi="宋体" w:eastAsia="宋体" w:cs="宋体"/>
          <w:color w:val="auto"/>
          <w:sz w:val="24"/>
          <w:szCs w:val="24"/>
          <w:highlight w:val="none"/>
          <w:lang w:val="en-US" w:eastAsia="zh-CN"/>
        </w:rPr>
        <w:t>2个月内</w:t>
      </w:r>
      <w:r>
        <w:rPr>
          <w:rFonts w:hint="eastAsia" w:ascii="宋体" w:hAnsi="宋体" w:eastAsia="宋体" w:cs="宋体"/>
          <w:color w:val="auto"/>
          <w:sz w:val="24"/>
          <w:szCs w:val="24"/>
          <w:highlight w:val="none"/>
        </w:rPr>
        <w:t>完成系统安装、调试达到本</w:t>
      </w:r>
      <w:r>
        <w:rPr>
          <w:rFonts w:hint="eastAsia" w:ascii="宋体" w:hAnsi="宋体" w:eastAsia="宋体" w:cs="宋体"/>
          <w:color w:val="auto"/>
          <w:sz w:val="24"/>
          <w:szCs w:val="24"/>
          <w:highlight w:val="none"/>
          <w:lang w:eastAsia="zh-CN"/>
        </w:rPr>
        <w:t>招标</w:t>
      </w:r>
      <w:r>
        <w:rPr>
          <w:rFonts w:hint="eastAsia" w:ascii="宋体" w:hAnsi="宋体" w:eastAsia="宋体" w:cs="宋体"/>
          <w:color w:val="auto"/>
          <w:sz w:val="24"/>
          <w:szCs w:val="24"/>
          <w:highlight w:val="none"/>
        </w:rPr>
        <w:t>文件规定的指标，进行项目初步验收(初验)。验收规范应由中标人提前7天提交给采购人，采购人及授权监理方可根据合同、招投标文件和采购人的有关规定进行修改和补充，经双方确认后形成验收规范作为验收依据。初步验收合格后，三方(中标人、采购人及授权监理方)签署初验相关文件，系统进入试运行阶段。</w:t>
      </w:r>
    </w:p>
    <w:p w14:paraId="5C154F5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8.2</w:t>
      </w:r>
      <w:r>
        <w:rPr>
          <w:rFonts w:hint="eastAsia" w:ascii="宋体" w:hAnsi="宋体" w:eastAsia="宋体" w:cs="宋体"/>
          <w:color w:val="auto"/>
          <w:sz w:val="24"/>
          <w:szCs w:val="24"/>
          <w:highlight w:val="none"/>
        </w:rPr>
        <w:t>系统试运行：试运行时间3个月，试运行期间中标人应有专业技术人员进行现场技术支持，出现的任何系统软问题，应由中标人及时处理解决。</w:t>
      </w:r>
    </w:p>
    <w:p w14:paraId="3F3E01D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8.3</w:t>
      </w:r>
      <w:r>
        <w:rPr>
          <w:rFonts w:hint="eastAsia" w:ascii="宋体" w:hAnsi="宋体" w:eastAsia="宋体" w:cs="宋体"/>
          <w:color w:val="auto"/>
          <w:sz w:val="24"/>
          <w:szCs w:val="24"/>
          <w:highlight w:val="none"/>
        </w:rPr>
        <w:t>终验：</w:t>
      </w:r>
      <w:r>
        <w:rPr>
          <w:rFonts w:hint="eastAsia" w:ascii="宋体" w:hAnsi="宋体" w:eastAsia="宋体" w:cs="宋体"/>
          <w:color w:val="auto"/>
          <w:sz w:val="24"/>
          <w:szCs w:val="24"/>
          <w:highlight w:val="none"/>
          <w:lang w:val="en-US" w:eastAsia="zh-CN"/>
        </w:rPr>
        <w:t>系统</w:t>
      </w:r>
      <w:r>
        <w:rPr>
          <w:rFonts w:hint="eastAsia" w:ascii="宋体" w:hAnsi="宋体" w:eastAsia="宋体" w:cs="宋体"/>
          <w:color w:val="auto"/>
          <w:sz w:val="24"/>
          <w:szCs w:val="24"/>
          <w:highlight w:val="none"/>
        </w:rPr>
        <w:t>试运行3个月</w:t>
      </w:r>
      <w:r>
        <w:rPr>
          <w:rFonts w:hint="eastAsia" w:ascii="宋体" w:hAnsi="宋体" w:eastAsia="宋体" w:cs="宋体"/>
          <w:color w:val="auto"/>
          <w:sz w:val="24"/>
          <w:szCs w:val="24"/>
          <w:highlight w:val="none"/>
          <w:lang w:val="en-US" w:eastAsia="zh-CN"/>
        </w:rPr>
        <w:t>后，经采购人及有关部门验收后</w:t>
      </w:r>
      <w:r>
        <w:rPr>
          <w:rFonts w:hint="eastAsia" w:ascii="宋体" w:hAnsi="宋体" w:eastAsia="宋体" w:cs="宋体"/>
          <w:color w:val="auto"/>
          <w:sz w:val="24"/>
          <w:szCs w:val="24"/>
          <w:highlight w:val="none"/>
        </w:rPr>
        <w:t>，开展项目终验。</w:t>
      </w:r>
    </w:p>
    <w:p w14:paraId="7AEBDE75">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bookmarkStart w:id="13" w:name="_Toc69723436"/>
      <w:r>
        <w:rPr>
          <w:rFonts w:hint="eastAsia" w:ascii="宋体" w:hAnsi="宋体" w:eastAsia="宋体" w:cs="宋体"/>
          <w:b/>
          <w:bCs/>
          <w:color w:val="auto"/>
          <w:sz w:val="24"/>
          <w:szCs w:val="24"/>
          <w:highlight w:val="none"/>
          <w:lang w:val="en-US" w:eastAsia="zh-CN"/>
        </w:rPr>
        <w:t>9.</w:t>
      </w:r>
      <w:r>
        <w:rPr>
          <w:rFonts w:hint="eastAsia" w:ascii="宋体" w:hAnsi="宋体" w:eastAsia="宋体" w:cs="宋体"/>
          <w:b/>
          <w:bCs/>
          <w:color w:val="auto"/>
          <w:sz w:val="24"/>
          <w:szCs w:val="24"/>
          <w:highlight w:val="none"/>
        </w:rPr>
        <w:t>技术服务要求</w:t>
      </w:r>
      <w:bookmarkEnd w:id="13"/>
    </w:p>
    <w:p w14:paraId="5695E07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9.1</w:t>
      </w:r>
      <w:r>
        <w:rPr>
          <w:rFonts w:hint="eastAsia" w:ascii="宋体" w:hAnsi="宋体" w:eastAsia="宋体" w:cs="宋体"/>
          <w:color w:val="auto"/>
          <w:sz w:val="24"/>
          <w:szCs w:val="24"/>
          <w:highlight w:val="none"/>
        </w:rPr>
        <w:t>中标人应提供安装调试时所需的工程资料，中标人有责任在保证安全和质量的前提下提供技术服务，包括：技术说明书、使用说明书、维护说明书等。</w:t>
      </w:r>
    </w:p>
    <w:p w14:paraId="489A64E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9.2</w:t>
      </w:r>
      <w:r>
        <w:rPr>
          <w:rFonts w:hint="eastAsia" w:ascii="宋体" w:hAnsi="宋体" w:eastAsia="宋体" w:cs="宋体"/>
          <w:color w:val="auto"/>
          <w:sz w:val="24"/>
          <w:szCs w:val="24"/>
          <w:highlight w:val="none"/>
        </w:rPr>
        <w:t>在系统调测期间，采购人有权派出技术人员参加，中标人有义务对其进行指导。</w:t>
      </w:r>
    </w:p>
    <w:p w14:paraId="03284D8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9.3</w:t>
      </w:r>
      <w:r>
        <w:rPr>
          <w:rFonts w:hint="eastAsia" w:ascii="宋体" w:hAnsi="宋体" w:eastAsia="宋体" w:cs="宋体"/>
          <w:color w:val="auto"/>
          <w:sz w:val="24"/>
          <w:szCs w:val="24"/>
          <w:highlight w:val="none"/>
        </w:rPr>
        <w:t>中标人应免费提供实用齐全的全套随机技术资料。设备开通后，如发生软件升级及设备升级、扩展等有关情况，中标人应向采购人提供必要的技术资料。</w:t>
      </w:r>
    </w:p>
    <w:p w14:paraId="54B844C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9.4</w:t>
      </w:r>
      <w:r>
        <w:rPr>
          <w:rFonts w:hint="eastAsia" w:ascii="宋体" w:hAnsi="宋体" w:eastAsia="宋体" w:cs="宋体"/>
          <w:color w:val="auto"/>
          <w:sz w:val="24"/>
          <w:szCs w:val="24"/>
          <w:highlight w:val="none"/>
        </w:rPr>
        <w:t>在试运行及维保期间，系统维护由中标人负责。</w:t>
      </w:r>
    </w:p>
    <w:p w14:paraId="002A9894">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bookmarkStart w:id="14" w:name="_Toc69723437"/>
      <w:r>
        <w:rPr>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lang w:val="en-US" w:eastAsia="zh-CN"/>
        </w:rPr>
        <w:t>0.</w:t>
      </w:r>
      <w:r>
        <w:rPr>
          <w:rFonts w:hint="eastAsia" w:ascii="宋体" w:hAnsi="宋体" w:eastAsia="宋体" w:cs="宋体"/>
          <w:b/>
          <w:bCs/>
          <w:color w:val="auto"/>
          <w:sz w:val="24"/>
          <w:szCs w:val="24"/>
          <w:highlight w:val="none"/>
        </w:rPr>
        <w:t>工期与进度管理要求</w:t>
      </w:r>
      <w:bookmarkEnd w:id="14"/>
    </w:p>
    <w:p w14:paraId="04763E7A">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10.1</w:t>
      </w:r>
      <w:r>
        <w:rPr>
          <w:rFonts w:hint="eastAsia" w:ascii="宋体" w:hAnsi="宋体" w:eastAsia="宋体" w:cs="宋体"/>
          <w:color w:val="auto"/>
          <w:sz w:val="24"/>
          <w:szCs w:val="24"/>
          <w:highlight w:val="none"/>
        </w:rPr>
        <w:t>本项目建设工期为</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个月，以合同签订之日为项目建设起始时间点。具体分为项目实施阶段、</w:t>
      </w:r>
      <w:r>
        <w:rPr>
          <w:rFonts w:hint="eastAsia" w:ascii="宋体" w:hAnsi="宋体" w:eastAsia="宋体" w:cs="宋体"/>
          <w:color w:val="auto"/>
          <w:sz w:val="24"/>
          <w:szCs w:val="24"/>
          <w:highlight w:val="none"/>
          <w:lang w:eastAsia="zh-CN"/>
        </w:rPr>
        <w:t>初验阶段、</w:t>
      </w:r>
      <w:r>
        <w:rPr>
          <w:rFonts w:hint="eastAsia" w:ascii="宋体" w:hAnsi="宋体" w:eastAsia="宋体" w:cs="宋体"/>
          <w:color w:val="auto"/>
          <w:sz w:val="24"/>
          <w:szCs w:val="24"/>
          <w:highlight w:val="none"/>
        </w:rPr>
        <w:t>试运行阶段及终验阶段。各阶段进度要求如下：</w:t>
      </w:r>
    </w:p>
    <w:p w14:paraId="05F330B7">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项目实施阶段：合同签订后，完成项目需求确认、需求分析、系统设计；完成宁德市跨境电商综试区项目相关系统的开发、测试、安装、部署，同时完成项目监管场所支撑系统硬件设备和系统软件采购、安装、调试。</w:t>
      </w:r>
    </w:p>
    <w:p w14:paraId="6BDCBDB4">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）项目初验阶段：系统建设完成，开展项目初验。</w:t>
      </w:r>
    </w:p>
    <w:p w14:paraId="152295D7">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项目试运行阶段：完成初步验收工作，并上线试运行3个月。同步完成软硬件第三方测试、测评，并制定培训计划，对系统各类用户进行业务知识培训、操作培训、运维培训，达到培训目标。</w:t>
      </w:r>
    </w:p>
    <w:p w14:paraId="3154E891">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项目终验阶段：</w:t>
      </w:r>
      <w:r>
        <w:rPr>
          <w:rFonts w:hint="eastAsia" w:ascii="宋体" w:hAnsi="宋体" w:eastAsia="宋体" w:cs="宋体"/>
          <w:color w:val="auto"/>
          <w:sz w:val="24"/>
          <w:szCs w:val="24"/>
          <w:highlight w:val="none"/>
          <w:lang w:val="en-US" w:eastAsia="zh-CN"/>
        </w:rPr>
        <w:t>完成项目验收，项目各系统正式上线运行</w:t>
      </w:r>
      <w:r>
        <w:rPr>
          <w:rFonts w:hint="eastAsia" w:ascii="宋体" w:hAnsi="宋体" w:eastAsia="宋体" w:cs="宋体"/>
          <w:color w:val="auto"/>
          <w:sz w:val="24"/>
          <w:szCs w:val="24"/>
          <w:highlight w:val="none"/>
        </w:rPr>
        <w:t>。</w:t>
      </w:r>
    </w:p>
    <w:p w14:paraId="0B092364">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①</w:t>
      </w:r>
      <w:r>
        <w:rPr>
          <w:rFonts w:hint="eastAsia" w:ascii="宋体" w:hAnsi="宋体" w:eastAsia="宋体" w:cs="宋体"/>
          <w:color w:val="auto"/>
          <w:sz w:val="24"/>
          <w:szCs w:val="24"/>
          <w:highlight w:val="none"/>
        </w:rPr>
        <w:t>中标人应提交项目工作的方式、方法、过程步骤、按阶段分解的详细计划、对应计划应提交的工作成果、需要采购人协调与配合的事项，并经采购人审核、批准。</w:t>
      </w:r>
    </w:p>
    <w:p w14:paraId="13141231">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②</w:t>
      </w:r>
      <w:r>
        <w:rPr>
          <w:rFonts w:hint="eastAsia" w:ascii="宋体" w:hAnsi="宋体" w:eastAsia="宋体" w:cs="宋体"/>
          <w:color w:val="auto"/>
          <w:sz w:val="24"/>
          <w:szCs w:val="24"/>
          <w:highlight w:val="none"/>
        </w:rPr>
        <w:t>采购人有权监督和管理本项目的安装、调试、故障诊断、系统部署和验收等各项工作，中标人必须接受并服从采购人的监督、管理要求，无条件提供中间过程工作成果。</w:t>
      </w:r>
    </w:p>
    <w:p w14:paraId="32BC43ED">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③</w:t>
      </w:r>
      <w:r>
        <w:rPr>
          <w:rFonts w:hint="eastAsia" w:ascii="宋体" w:hAnsi="宋体" w:eastAsia="宋体" w:cs="宋体"/>
          <w:color w:val="auto"/>
          <w:sz w:val="24"/>
          <w:szCs w:val="24"/>
          <w:highlight w:val="none"/>
        </w:rPr>
        <w:t>中标人在项目实施过程中必须分别按周、月提交进度报告，对项目问题及进度延迟原因进行说明，制定合理的解决措施并有效执行。</w:t>
      </w:r>
    </w:p>
    <w:p w14:paraId="4C47A397">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④</w:t>
      </w:r>
      <w:r>
        <w:rPr>
          <w:rFonts w:hint="eastAsia" w:ascii="宋体" w:hAnsi="宋体" w:eastAsia="宋体" w:cs="宋体"/>
          <w:color w:val="auto"/>
          <w:sz w:val="24"/>
          <w:szCs w:val="24"/>
          <w:highlight w:val="none"/>
        </w:rPr>
        <w:t>中标人在项目实施过程中应加强问题管理，特别对采购人提出的问题应在约定的时间内及时解决，并提交书面报告，否则由此导致的进度延迟责任由中标人承担。</w:t>
      </w:r>
    </w:p>
    <w:p w14:paraId="3F5DB0FE">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bookmarkStart w:id="15" w:name="_Toc69723438"/>
      <w:r>
        <w:rPr>
          <w:rFonts w:hint="eastAsia" w:ascii="宋体" w:hAnsi="宋体" w:eastAsia="宋体" w:cs="宋体"/>
          <w:b/>
          <w:bCs/>
          <w:color w:val="auto"/>
          <w:sz w:val="24"/>
          <w:szCs w:val="24"/>
          <w:highlight w:val="none"/>
          <w:lang w:val="en-US" w:eastAsia="zh-CN"/>
        </w:rPr>
        <w:t>11.</w:t>
      </w:r>
      <w:r>
        <w:rPr>
          <w:rFonts w:hint="eastAsia" w:ascii="宋体" w:hAnsi="宋体" w:eastAsia="宋体" w:cs="宋体"/>
          <w:b/>
          <w:bCs/>
          <w:color w:val="auto"/>
          <w:sz w:val="24"/>
          <w:szCs w:val="24"/>
          <w:highlight w:val="none"/>
        </w:rPr>
        <w:t>质量管理要求</w:t>
      </w:r>
      <w:bookmarkEnd w:id="15"/>
    </w:p>
    <w:p w14:paraId="494F971C">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11.1</w:t>
      </w:r>
      <w:r>
        <w:rPr>
          <w:rFonts w:hint="eastAsia" w:ascii="宋体" w:hAnsi="宋体" w:eastAsia="宋体" w:cs="宋体"/>
          <w:color w:val="auto"/>
          <w:sz w:val="24"/>
          <w:szCs w:val="24"/>
          <w:highlight w:val="none"/>
        </w:rPr>
        <w:t>中标人在项目实施过程中应开展质量保证活动，所提交的进度报告应包括质量报告内容，对质量问题制定改进措施并有效执行。</w:t>
      </w:r>
    </w:p>
    <w:p w14:paraId="065CA5A6">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11.2</w:t>
      </w:r>
      <w:r>
        <w:rPr>
          <w:rFonts w:hint="eastAsia" w:ascii="宋体" w:hAnsi="宋体" w:eastAsia="宋体" w:cs="宋体"/>
          <w:color w:val="auto"/>
          <w:sz w:val="24"/>
          <w:szCs w:val="24"/>
          <w:highlight w:val="none"/>
        </w:rPr>
        <w:t>中标人必须接受采购人的质量监督检查，提供真实有效的相关质量活动记录、证据，无条件接受采购人提出的质量问题整改要求，承担质量责任及因质量问题导致的进度延迟责任。</w:t>
      </w:r>
    </w:p>
    <w:p w14:paraId="39CBBBBF">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bookmarkStart w:id="16" w:name="_Toc69723440"/>
      <w:r>
        <w:rPr>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技术支持及售后服务任务要求</w:t>
      </w:r>
      <w:bookmarkEnd w:id="16"/>
    </w:p>
    <w:p w14:paraId="7DB19F20">
      <w:pPr>
        <w:pStyle w:val="16"/>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12.1</w:t>
      </w:r>
      <w:r>
        <w:rPr>
          <w:rFonts w:hint="eastAsia" w:ascii="宋体" w:hAnsi="宋体" w:eastAsia="宋体" w:cs="宋体"/>
          <w:b/>
          <w:bCs/>
          <w:color w:val="auto"/>
          <w:sz w:val="24"/>
          <w:szCs w:val="24"/>
          <w:highlight w:val="none"/>
        </w:rPr>
        <w:t>运行维护期：本项目平台运行维护期为</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年（自项目最终验收合格之日起算</w:t>
      </w:r>
      <w:r>
        <w:rPr>
          <w:rFonts w:hint="eastAsia" w:ascii="宋体" w:hAnsi="宋体" w:eastAsia="宋体" w:cs="宋体"/>
          <w:b/>
          <w:bCs/>
          <w:color w:val="auto"/>
          <w:sz w:val="24"/>
          <w:szCs w:val="24"/>
          <w:highlight w:val="none"/>
          <w:lang w:val="en-US" w:eastAsia="zh-CN"/>
        </w:rPr>
        <w:t>3</w:t>
      </w:r>
      <w:r>
        <w:rPr>
          <w:rFonts w:hint="eastAsia" w:ascii="宋体" w:hAnsi="宋体" w:eastAsia="宋体" w:cs="宋体"/>
          <w:b/>
          <w:bCs/>
          <w:color w:val="auto"/>
          <w:sz w:val="24"/>
          <w:szCs w:val="24"/>
          <w:highlight w:val="none"/>
        </w:rPr>
        <w:t>年）</w:t>
      </w:r>
      <w:r>
        <w:rPr>
          <w:rFonts w:hint="eastAsia" w:ascii="宋体" w:hAnsi="宋体" w:eastAsia="宋体" w:cs="宋体"/>
          <w:color w:val="auto"/>
          <w:sz w:val="24"/>
          <w:szCs w:val="24"/>
          <w:highlight w:val="none"/>
        </w:rPr>
        <w:t>。中标人在维护期内须定期对系统进行分析，及时发现安全隐患、系统漏洞程序错误的修正，漏洞更新，以及数据更新。</w:t>
      </w:r>
    </w:p>
    <w:p w14:paraId="45D3C4D4">
      <w:pPr>
        <w:pStyle w:val="28"/>
        <w:pageBreakBefore w:val="0"/>
        <w:widowControl w:val="0"/>
        <w:kinsoku/>
        <w:wordWrap/>
        <w:overflowPunct/>
        <w:topLinePunct w:val="0"/>
        <w:autoSpaceDE/>
        <w:autoSpaceDN/>
        <w:bidi w:val="0"/>
        <w:spacing w:after="0" w:line="360" w:lineRule="auto"/>
        <w:ind w:left="0" w:leftChars="0" w:right="0" w:firstLine="482" w:firstLineChars="200"/>
        <w:textAlignment w:val="auto"/>
        <w:rPr>
          <w:rFonts w:hint="eastAsia" w:ascii="宋体" w:hAnsi="宋体" w:eastAsia="宋体" w:cs="宋体"/>
          <w:b/>
          <w:bCs/>
          <w:color w:val="auto"/>
          <w:sz w:val="24"/>
          <w:szCs w:val="24"/>
          <w:highlight w:val="none"/>
          <w:lang w:eastAsia="zh-CN"/>
        </w:rPr>
      </w:pPr>
      <w:r>
        <w:rPr>
          <w:rFonts w:hint="eastAsia" w:cs="宋体"/>
          <w:b/>
          <w:bCs/>
          <w:color w:val="auto"/>
          <w:sz w:val="24"/>
          <w:szCs w:val="24"/>
          <w:highlight w:val="none"/>
          <w:lang w:val="en-US" w:eastAsia="zh-CN"/>
        </w:rPr>
        <w:t>12.2</w:t>
      </w:r>
      <w:r>
        <w:rPr>
          <w:rFonts w:hint="eastAsia" w:ascii="宋体" w:hAnsi="宋体" w:eastAsia="宋体" w:cs="宋体"/>
          <w:b/>
          <w:bCs/>
          <w:color w:val="auto"/>
          <w:sz w:val="24"/>
          <w:szCs w:val="24"/>
          <w:highlight w:val="none"/>
          <w:lang w:eastAsia="zh-CN"/>
        </w:rPr>
        <w:t>运行维护内容</w:t>
      </w:r>
    </w:p>
    <w:p w14:paraId="1219F9E7">
      <w:pPr>
        <w:pStyle w:val="29"/>
        <w:keepNext w:val="0"/>
        <w:keepLines w:val="0"/>
        <w:pageBreakBefore w:val="0"/>
        <w:widowControl w:val="0"/>
        <w:kinsoku/>
        <w:wordWrap/>
        <w:overflowPunct/>
        <w:topLinePunct w:val="0"/>
        <w:autoSpaceDE/>
        <w:autoSpaceDN/>
        <w:bidi w:val="0"/>
        <w:adjustRightInd/>
        <w:spacing w:beforeLines="0" w:afterLines="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本项目的运维内容主要包括业务运行咨询、数据维护、软件维护和硬件平台维护。</w:t>
      </w:r>
    </w:p>
    <w:p w14:paraId="37424AD4">
      <w:pPr>
        <w:pStyle w:val="29"/>
        <w:keepNext w:val="0"/>
        <w:keepLines w:val="0"/>
        <w:pageBreakBefore w:val="0"/>
        <w:widowControl w:val="0"/>
        <w:kinsoku/>
        <w:wordWrap/>
        <w:overflowPunct/>
        <w:topLinePunct w:val="0"/>
        <w:autoSpaceDE/>
        <w:autoSpaceDN/>
        <w:bidi w:val="0"/>
        <w:adjustRightInd/>
        <w:spacing w:beforeLines="0" w:afterLines="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数据维护主要指本项目信息系统与其他应用系统之间的数据交换，确保不同应用建数据的同步和交换通道的畅通。</w:t>
      </w:r>
    </w:p>
    <w:p w14:paraId="73C1772A">
      <w:pPr>
        <w:pStyle w:val="29"/>
        <w:keepNext w:val="0"/>
        <w:keepLines w:val="0"/>
        <w:pageBreakBefore w:val="0"/>
        <w:widowControl w:val="0"/>
        <w:kinsoku/>
        <w:wordWrap/>
        <w:overflowPunct/>
        <w:topLinePunct w:val="0"/>
        <w:autoSpaceDE/>
        <w:autoSpaceDN/>
        <w:bidi w:val="0"/>
        <w:adjustRightInd/>
        <w:spacing w:beforeLines="0" w:afterLines="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软件维护包括本项目信息系统在运行期间发现的各种与需求不相符的问题的修改等改正性维护；在运行过程中因为新的软、硬件配置或数据格式变化而带来的应用软件的修改等适应性维护；以及因为在软件使用过程中，提出新的功能与性能要求而进行的应用软件修改的完善性维护。</w:t>
      </w:r>
    </w:p>
    <w:p w14:paraId="08DAA655">
      <w:pPr>
        <w:pStyle w:val="28"/>
        <w:keepNext w:val="0"/>
        <w:keepLines w:val="0"/>
        <w:pageBreakBefore w:val="0"/>
        <w:widowControl w:val="0"/>
        <w:kinsoku/>
        <w:wordWrap/>
        <w:overflowPunct/>
        <w:topLinePunct w:val="0"/>
        <w:autoSpaceDE/>
        <w:autoSpaceDN/>
        <w:bidi w:val="0"/>
        <w:adjustRightInd/>
        <w:spacing w:after="0" w:line="360" w:lineRule="auto"/>
        <w:ind w:left="0" w:leftChars="0" w:right="0" w:firstLine="480" w:firstLineChars="20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硬件维护主要包括网络、安全、主机存储系统等故障以及相应的硬件配置和系统软件配置等。</w:t>
      </w:r>
    </w:p>
    <w:p w14:paraId="37BBA54B">
      <w:pPr>
        <w:pStyle w:val="15"/>
        <w:pageBreakBefore w:val="0"/>
        <w:widowControl w:val="0"/>
        <w:kinsoku/>
        <w:wordWrap/>
        <w:overflowPunct/>
        <w:topLinePunct w:val="0"/>
        <w:autoSpaceDE/>
        <w:autoSpaceDN/>
        <w:bidi w:val="0"/>
        <w:spacing w:beforeAutospacing="0" w:afterAutospacing="0" w:line="360" w:lineRule="auto"/>
        <w:ind w:left="0" w:leftChars="0" w:right="0" w:firstLine="482" w:firstLineChars="200"/>
        <w:textAlignment w:val="auto"/>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12.3运行维护团队</w:t>
      </w:r>
    </w:p>
    <w:p w14:paraId="1524D6D1">
      <w:pPr>
        <w:pStyle w:val="15"/>
        <w:pageBreakBefore w:val="0"/>
        <w:widowControl w:val="0"/>
        <w:kinsoku/>
        <w:wordWrap/>
        <w:overflowPunct/>
        <w:topLinePunct w:val="0"/>
        <w:autoSpaceDE/>
        <w:autoSpaceDN/>
        <w:bidi w:val="0"/>
        <w:spacing w:beforeAutospacing="0" w:afterAutospacing="0" w:line="360" w:lineRule="auto"/>
        <w:ind w:left="0" w:leftChars="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12.3.1由中标人负责提供对信息平台的硬件设备与系统软件维护。</w:t>
      </w:r>
    </w:p>
    <w:p w14:paraId="12E13497">
      <w:pPr>
        <w:pStyle w:val="15"/>
        <w:pageBreakBefore w:val="0"/>
        <w:widowControl w:val="0"/>
        <w:kinsoku/>
        <w:wordWrap/>
        <w:overflowPunct/>
        <w:topLinePunct w:val="0"/>
        <w:autoSpaceDE/>
        <w:autoSpaceDN/>
        <w:bidi w:val="0"/>
        <w:spacing w:beforeAutospacing="0" w:afterAutospacing="0" w:line="360" w:lineRule="auto"/>
        <w:ind w:left="0" w:leftChars="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12.3.2应用系统的维护主要由中标人责具体实施。在维护期内，中标人应根据采购人需求的进行系统功能调整，环境适应性维护；在维护期外，可采用应用维护外包的方式，规定中标人提供一定数量、一定水平、一定专业结构的维护队伍开展应用系统的改正性和完善性维护；对于新增需求，用户应按照新立项目开展系统的开发建设工作。</w:t>
      </w:r>
    </w:p>
    <w:p w14:paraId="46519029">
      <w:pPr>
        <w:pStyle w:val="15"/>
        <w:pageBreakBefore w:val="0"/>
        <w:widowControl w:val="0"/>
        <w:kinsoku/>
        <w:wordWrap/>
        <w:overflowPunct/>
        <w:topLinePunct w:val="0"/>
        <w:autoSpaceDE/>
        <w:autoSpaceDN/>
        <w:bidi w:val="0"/>
        <w:spacing w:beforeAutospacing="0" w:afterAutospacing="0" w:line="360" w:lineRule="auto"/>
        <w:ind w:left="0" w:leftChars="0" w:right="0"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12.3.3在1年免费运维服务期内，中标人应派至少1名系统开发经验的工程技术人员提</w:t>
      </w:r>
      <w:bookmarkStart w:id="51" w:name="_GoBack"/>
      <w:bookmarkEnd w:id="51"/>
      <w:r>
        <w:rPr>
          <w:rFonts w:hint="eastAsia" w:ascii="宋体" w:hAnsi="宋体" w:eastAsia="宋体" w:cs="宋体"/>
          <w:color w:val="auto"/>
          <w:sz w:val="24"/>
          <w:szCs w:val="24"/>
          <w:highlight w:val="none"/>
          <w:lang w:val="en-US" w:eastAsia="zh-CN"/>
        </w:rPr>
        <w:t>供技术支持，负责维护，维护方式采用5×8小时，夜间、节假日远程值守，达到7×24小时值班的要求。</w:t>
      </w:r>
    </w:p>
    <w:p w14:paraId="243B2957">
      <w:pPr>
        <w:pStyle w:val="34"/>
        <w:rPr>
          <w:rFonts w:hint="eastAsia" w:ascii="宋体" w:hAnsi="宋体" w:eastAsia="宋体" w:cs="宋体"/>
          <w:color w:val="auto"/>
          <w:kern w:val="0"/>
          <w:sz w:val="24"/>
          <w:szCs w:val="24"/>
          <w:highlight w:val="none"/>
          <w:lang w:val="en-US" w:eastAsia="zh-CN" w:bidi="ar-SA"/>
        </w:rPr>
      </w:pPr>
      <w:r>
        <w:rPr>
          <w:rFonts w:hint="eastAsia" w:ascii="宋体" w:hAnsi="宋体" w:eastAsia="宋体" w:cs="宋体"/>
          <w:color w:val="auto"/>
          <w:kern w:val="0"/>
          <w:sz w:val="24"/>
          <w:szCs w:val="24"/>
          <w:highlight w:val="none"/>
          <w:lang w:val="en-US" w:eastAsia="zh-CN" w:bidi="ar-SA"/>
        </w:rPr>
        <w:t>12.3.4由中标人负责组建项目维护团队，负责保障本平台7×24小时运行，负责本项目系统的运行管理设备的维护、保养，但其中硬件设备与系统软件的维护将最终通过中标人组织设备供应商提供原厂服务，定制化应用软件的维护最终由软件原厂开发商负责维护。</w:t>
      </w:r>
    </w:p>
    <w:p w14:paraId="64050C18">
      <w:pPr>
        <w:pStyle w:val="34"/>
        <w:keepNext w:val="0"/>
        <w:keepLines w:val="0"/>
        <w:pageBreakBefore w:val="0"/>
        <w:widowControl w:val="0"/>
        <w:kinsoku/>
        <w:wordWrap/>
        <w:overflowPunct/>
        <w:topLinePunct w:val="0"/>
        <w:autoSpaceDE/>
        <w:autoSpaceDN/>
        <w:bidi w:val="0"/>
        <w:adjustRightInd/>
        <w:snapToGrid w:val="0"/>
        <w:spacing w:beforeLines="0" w:afterLines="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kern w:val="0"/>
          <w:sz w:val="24"/>
          <w:szCs w:val="24"/>
          <w:highlight w:val="none"/>
          <w:lang w:val="en-US" w:eastAsia="zh-CN" w:bidi="ar-SA"/>
        </w:rPr>
        <w:t>12.3.5维护方式采用5*8小时，加夜间、节假日远程值守（故障时有手机短信、邮件通知值守人员处理，同时人工定时上线检查系统运行情况），达到7*24小时值班的要求。故障申告在1小时内响应，重大故障修复时间不大于1小时，一般故障修复时间不大于4小时。有疑难故障时由中标人负责调动厂商和相关技术支持限时到达现场解决故障。</w:t>
      </w:r>
    </w:p>
    <w:p w14:paraId="4F9D98AF">
      <w:pPr>
        <w:pStyle w:val="15"/>
        <w:pageBreakBefore w:val="0"/>
        <w:widowControl w:val="0"/>
        <w:kinsoku/>
        <w:wordWrap/>
        <w:overflowPunct/>
        <w:topLinePunct w:val="0"/>
        <w:autoSpaceDE/>
        <w:autoSpaceDN/>
        <w:bidi w:val="0"/>
        <w:spacing w:beforeAutospacing="0" w:afterAutospacing="0"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12.4</w:t>
      </w:r>
      <w:r>
        <w:rPr>
          <w:rFonts w:hint="eastAsia" w:ascii="宋体" w:hAnsi="宋体" w:eastAsia="宋体" w:cs="宋体"/>
          <w:color w:val="auto"/>
          <w:sz w:val="24"/>
          <w:szCs w:val="24"/>
          <w:highlight w:val="none"/>
        </w:rPr>
        <w:t>硬件设备要求：</w:t>
      </w:r>
      <w:r>
        <w:rPr>
          <w:rFonts w:hint="eastAsia" w:ascii="宋体" w:hAnsi="宋体" w:eastAsia="宋体" w:cs="宋体"/>
          <w:b/>
          <w:bCs/>
          <w:color w:val="auto"/>
          <w:sz w:val="24"/>
          <w:szCs w:val="24"/>
          <w:highlight w:val="none"/>
        </w:rPr>
        <w:t>保修期为</w:t>
      </w:r>
      <w:r>
        <w:rPr>
          <w:rFonts w:hint="eastAsia" w:ascii="宋体" w:hAnsi="宋体" w:eastAsia="宋体" w:cs="宋体"/>
          <w:b/>
          <w:bCs/>
          <w:color w:val="auto"/>
          <w:sz w:val="24"/>
          <w:szCs w:val="24"/>
          <w:highlight w:val="none"/>
          <w:lang w:val="en-US" w:eastAsia="zh-CN"/>
        </w:rPr>
        <w:t>2</w:t>
      </w:r>
      <w:r>
        <w:rPr>
          <w:rFonts w:hint="eastAsia" w:ascii="宋体" w:hAnsi="宋体" w:eastAsia="宋体" w:cs="宋体"/>
          <w:b/>
          <w:bCs/>
          <w:color w:val="auto"/>
          <w:sz w:val="24"/>
          <w:szCs w:val="24"/>
          <w:highlight w:val="none"/>
        </w:rPr>
        <w:t>年</w:t>
      </w:r>
      <w:r>
        <w:rPr>
          <w:rFonts w:hint="eastAsia" w:ascii="宋体" w:hAnsi="宋体" w:eastAsia="宋体" w:cs="宋体"/>
          <w:color w:val="auto"/>
          <w:sz w:val="24"/>
          <w:szCs w:val="24"/>
          <w:highlight w:val="none"/>
        </w:rPr>
        <w:t>（若技术和服务要求中有提到质保维保年限的，以技术和服务要求中的年限为准）。保修期自</w:t>
      </w:r>
      <w:r>
        <w:rPr>
          <w:rFonts w:hint="eastAsia" w:ascii="宋体" w:hAnsi="宋体" w:eastAsia="宋体" w:cs="宋体"/>
          <w:color w:val="auto"/>
          <w:sz w:val="24"/>
          <w:szCs w:val="24"/>
          <w:highlight w:val="none"/>
          <w:lang w:val="en-US" w:eastAsia="zh-CN"/>
        </w:rPr>
        <w:t>最终</w:t>
      </w:r>
      <w:r>
        <w:rPr>
          <w:rFonts w:hint="eastAsia" w:ascii="宋体" w:hAnsi="宋体" w:eastAsia="宋体" w:cs="宋体"/>
          <w:color w:val="auto"/>
          <w:sz w:val="24"/>
          <w:szCs w:val="24"/>
          <w:highlight w:val="none"/>
        </w:rPr>
        <w:t>验收合格签名之日起计算。保修期内，须按合同条款提供服务，非因操作不当造成要更换的零配件及硬件设备由中标人负责包修、包换。中标人在保修期内须提供上门维修服务，保修期后出设备若出现故障，中标人应提供维修服务，只收取基本维护费用。所需配件应为生产厂家原装配件，其价格应低于市场价。保修期满前1个月内中标人应负责对系统设备进行一次全面检查，如发现潜在问题，应负责排除，保证设备正常运行。</w:t>
      </w:r>
    </w:p>
    <w:p w14:paraId="1DDF5B66">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13.</w:t>
      </w:r>
      <w:r>
        <w:rPr>
          <w:rFonts w:hint="eastAsia" w:ascii="宋体" w:hAnsi="宋体" w:eastAsia="宋体" w:cs="宋体"/>
          <w:b/>
          <w:bCs/>
          <w:color w:val="auto"/>
          <w:sz w:val="24"/>
          <w:szCs w:val="24"/>
          <w:highlight w:val="none"/>
        </w:rPr>
        <w:t>技术文件</w:t>
      </w:r>
    </w:p>
    <w:p w14:paraId="78D310D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13.1</w:t>
      </w:r>
      <w:r>
        <w:rPr>
          <w:rFonts w:hint="eastAsia" w:ascii="宋体" w:hAnsi="宋体" w:eastAsia="宋体" w:cs="宋体"/>
          <w:color w:val="auto"/>
          <w:sz w:val="24"/>
          <w:szCs w:val="24"/>
          <w:highlight w:val="none"/>
        </w:rPr>
        <w:t>中标人提供的书面技术资料应能满足确保系统正常运行所需的运行、维护及管理有关的全套文件。中标人提供的技术文件至少应包括：</w:t>
      </w:r>
    </w:p>
    <w:p w14:paraId="5BBF28E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技术手册：包括安装、操作、维护、故障排除等；</w:t>
      </w:r>
    </w:p>
    <w:p w14:paraId="1F5354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辅助资料：包括管理维护手册、用户使用手册等；</w:t>
      </w:r>
    </w:p>
    <w:p w14:paraId="4EBED6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标配光盘；</w:t>
      </w:r>
    </w:p>
    <w:p w14:paraId="767828E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采购人认为必要的其他文件。</w:t>
      </w:r>
    </w:p>
    <w:p w14:paraId="52D9A1BD">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13.2</w:t>
      </w:r>
      <w:r>
        <w:rPr>
          <w:rFonts w:hint="eastAsia" w:ascii="宋体" w:hAnsi="宋体" w:eastAsia="宋体" w:cs="宋体"/>
          <w:color w:val="auto"/>
          <w:sz w:val="24"/>
          <w:szCs w:val="24"/>
          <w:highlight w:val="none"/>
        </w:rPr>
        <w:t>所提供的文件其内容必须与所提供的平台相一致，技术文件应该全面、完整、详细。在双方商定的某一时期内由于软硬件的修改而导致文件的任何修改，中标人均应提供修改更正或补充的印刷文件。</w:t>
      </w:r>
    </w:p>
    <w:p w14:paraId="66FA616C">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13.3</w:t>
      </w:r>
      <w:r>
        <w:rPr>
          <w:rFonts w:hint="eastAsia" w:ascii="宋体" w:hAnsi="宋体" w:eastAsia="宋体" w:cs="宋体"/>
          <w:color w:val="auto"/>
          <w:sz w:val="24"/>
          <w:szCs w:val="24"/>
          <w:highlight w:val="none"/>
        </w:rPr>
        <w:t>中标人提供的技术文件应用中文或英文，培训教材和技术文档均应使用中文。</w:t>
      </w:r>
    </w:p>
    <w:p w14:paraId="3735426B">
      <w:pPr>
        <w:keepNext/>
        <w:keepLines/>
        <w:pageBreakBefore w:val="0"/>
        <w:widowControl w:val="0"/>
        <w:kinsoku/>
        <w:wordWrap/>
        <w:overflowPunct/>
        <w:topLinePunct w:val="0"/>
        <w:autoSpaceDE/>
        <w:autoSpaceDN/>
        <w:bidi w:val="0"/>
        <w:spacing w:line="360" w:lineRule="auto"/>
        <w:ind w:left="0" w:leftChars="0" w:right="0" w:firstLine="482" w:firstLineChars="200"/>
        <w:textAlignment w:val="auto"/>
        <w:outlineLvl w:val="2"/>
        <w:rPr>
          <w:rFonts w:hint="eastAsia" w:ascii="宋体" w:hAnsi="宋体" w:eastAsia="宋体" w:cs="宋体"/>
          <w:b/>
          <w:bCs/>
          <w:color w:val="auto"/>
          <w:sz w:val="24"/>
          <w:szCs w:val="24"/>
          <w:highlight w:val="none"/>
        </w:rPr>
      </w:pPr>
      <w:bookmarkStart w:id="17" w:name="_Toc69723442"/>
      <w:r>
        <w:rPr>
          <w:rFonts w:hint="eastAsia" w:ascii="宋体" w:hAnsi="宋体" w:eastAsia="宋体" w:cs="宋体"/>
          <w:b/>
          <w:bCs/>
          <w:color w:val="auto"/>
          <w:sz w:val="24"/>
          <w:szCs w:val="24"/>
          <w:highlight w:val="none"/>
        </w:rPr>
        <w:t>1</w:t>
      </w:r>
      <w:r>
        <w:rPr>
          <w:rFonts w:hint="eastAsia" w:ascii="宋体" w:hAnsi="宋体" w:eastAsia="宋体" w:cs="宋体"/>
          <w:b/>
          <w:bCs/>
          <w:color w:val="auto"/>
          <w:sz w:val="24"/>
          <w:szCs w:val="24"/>
          <w:highlight w:val="none"/>
          <w:lang w:val="en-US" w:eastAsia="zh-CN"/>
        </w:rPr>
        <w:t>4.</w:t>
      </w:r>
      <w:r>
        <w:rPr>
          <w:rFonts w:hint="eastAsia" w:ascii="宋体" w:hAnsi="宋体" w:eastAsia="宋体" w:cs="宋体"/>
          <w:b/>
          <w:bCs/>
          <w:color w:val="auto"/>
          <w:sz w:val="24"/>
          <w:szCs w:val="24"/>
          <w:highlight w:val="none"/>
        </w:rPr>
        <w:t>知识产权</w:t>
      </w:r>
      <w:bookmarkEnd w:id="17"/>
    </w:p>
    <w:p w14:paraId="7180AEED">
      <w:pPr>
        <w:pageBreakBefore w:val="0"/>
        <w:widowControl w:val="0"/>
        <w:kinsoku/>
        <w:wordWrap/>
        <w:overflowPunct/>
        <w:topLinePunct w:val="0"/>
        <w:autoSpaceDE/>
        <w:autoSpaceDN/>
        <w:bidi w:val="0"/>
        <w:spacing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人必须保证所提供的产品和服务具有独立的知识产权，保证采购人在使用中标人所提供的产品和服务时不受任何专利或版权等方面的侵权困扰，如出现类似纠纷，中标人应对由此产生的后果负全部责任，并赔偿采购人由此而造成的全部损失。</w:t>
      </w:r>
    </w:p>
    <w:p w14:paraId="0D977847">
      <w:pPr>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15.</w:t>
      </w:r>
      <w:r>
        <w:rPr>
          <w:rFonts w:hint="eastAsia" w:ascii="宋体" w:hAnsi="宋体" w:eastAsia="宋体" w:cs="宋体"/>
          <w:b/>
          <w:bCs/>
          <w:color w:val="auto"/>
          <w:sz w:val="24"/>
          <w:szCs w:val="24"/>
          <w:highlight w:val="none"/>
        </w:rPr>
        <w:t>安全与保密</w:t>
      </w:r>
    </w:p>
    <w:p w14:paraId="2DCEAE30">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15.1</w:t>
      </w:r>
      <w:r>
        <w:rPr>
          <w:rFonts w:hint="eastAsia" w:ascii="宋体" w:hAnsi="宋体" w:eastAsia="宋体" w:cs="宋体"/>
          <w:color w:val="auto"/>
          <w:sz w:val="24"/>
          <w:szCs w:val="24"/>
          <w:highlight w:val="none"/>
        </w:rPr>
        <w:t>中标人提供的软件系统、中间件软件均应该完全解决可能出现的相关安全问题，不允许通过设置“后门”实现服务。对可能出现的安全问题需提出详细的解决方案和具体的措施。</w:t>
      </w:r>
    </w:p>
    <w:p w14:paraId="229BCE24">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15.2</w:t>
      </w:r>
      <w:r>
        <w:rPr>
          <w:rFonts w:hint="eastAsia" w:ascii="宋体" w:hAnsi="宋体" w:eastAsia="宋体" w:cs="宋体"/>
          <w:color w:val="auto"/>
          <w:sz w:val="24"/>
          <w:szCs w:val="24"/>
          <w:highlight w:val="none"/>
        </w:rPr>
        <w:t>系统开发过程中至中标人正式向采购人交付系统文档资料时止，中标人必须采取措施对本项目开发过程中的数据、源代码、技术文档等资料保密，否则，由于中标人过错导致的上述资料泄密的，中标人必须承担一切责任。完成开发后，双方均有责任对本项目的技术保密承担责任。</w:t>
      </w:r>
    </w:p>
    <w:p w14:paraId="4C24C107">
      <w:pPr>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15.3</w:t>
      </w:r>
      <w:r>
        <w:rPr>
          <w:rFonts w:hint="eastAsia" w:ascii="宋体" w:hAnsi="宋体" w:eastAsia="宋体" w:cs="宋体"/>
          <w:color w:val="auto"/>
          <w:sz w:val="24"/>
          <w:szCs w:val="24"/>
          <w:highlight w:val="none"/>
        </w:rPr>
        <w:t>中标人无条件接受采购人的保密约定，包括在服务期结束后承诺两年内的保密义务，并承担相应的泄密责任。</w:t>
      </w:r>
    </w:p>
    <w:p w14:paraId="63A8AFD9">
      <w:pPr>
        <w:pStyle w:val="15"/>
        <w:pageBreakBefore w:val="0"/>
        <w:widowControl w:val="0"/>
        <w:kinsoku/>
        <w:wordWrap/>
        <w:overflowPunct/>
        <w:topLinePunct w:val="0"/>
        <w:autoSpaceDE/>
        <w:autoSpaceDN/>
        <w:bidi w:val="0"/>
        <w:spacing w:beforeAutospacing="0" w:afterAutospacing="0" w:line="360" w:lineRule="auto"/>
        <w:ind w:left="0" w:leftChars="0" w:right="0" w:firstLine="482" w:firstLineChars="200"/>
        <w:textAlignment w:val="auto"/>
        <w:rPr>
          <w:rStyle w:val="20"/>
          <w:rFonts w:hint="eastAsia" w:ascii="宋体" w:hAnsi="宋体" w:eastAsia="宋体" w:cs="宋体"/>
          <w:color w:val="auto"/>
          <w:sz w:val="24"/>
          <w:szCs w:val="24"/>
          <w:highlight w:val="none"/>
        </w:rPr>
      </w:pPr>
      <w:r>
        <w:rPr>
          <w:rStyle w:val="20"/>
          <w:rFonts w:hint="eastAsia" w:ascii="宋体" w:hAnsi="宋体" w:eastAsia="宋体" w:cs="宋体"/>
          <w:color w:val="auto"/>
          <w:sz w:val="24"/>
          <w:szCs w:val="24"/>
          <w:highlight w:val="none"/>
        </w:rPr>
        <w:t>1</w:t>
      </w:r>
      <w:r>
        <w:rPr>
          <w:rStyle w:val="20"/>
          <w:rFonts w:hint="eastAsia" w:ascii="宋体" w:hAnsi="宋体" w:eastAsia="宋体" w:cs="宋体"/>
          <w:color w:val="auto"/>
          <w:sz w:val="24"/>
          <w:szCs w:val="24"/>
          <w:highlight w:val="none"/>
          <w:lang w:val="en-US" w:eastAsia="zh-CN"/>
        </w:rPr>
        <w:t>6.</w:t>
      </w:r>
      <w:r>
        <w:rPr>
          <w:rStyle w:val="20"/>
          <w:rFonts w:hint="eastAsia" w:ascii="宋体" w:hAnsi="宋体" w:eastAsia="宋体" w:cs="宋体"/>
          <w:color w:val="auto"/>
          <w:sz w:val="24"/>
          <w:szCs w:val="24"/>
          <w:highlight w:val="none"/>
        </w:rPr>
        <w:t>技术培训</w:t>
      </w:r>
    </w:p>
    <w:p w14:paraId="437DA674">
      <w:pPr>
        <w:pStyle w:val="15"/>
        <w:pageBreakBefore w:val="0"/>
        <w:widowControl w:val="0"/>
        <w:kinsoku/>
        <w:wordWrap/>
        <w:overflowPunct/>
        <w:topLinePunct w:val="0"/>
        <w:autoSpaceDE/>
        <w:autoSpaceDN/>
        <w:bidi w:val="0"/>
        <w:spacing w:beforeAutospacing="0" w:afterAutospacing="0" w:line="360" w:lineRule="auto"/>
        <w:ind w:left="0" w:leftChars="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中标人应结合系统安装、调试、试运行、最终验收等各阶段，对采购人的技术人员就有关系统使用及维护、系统处理故障模拟训练等各方面进行现场培训，直到受训人员能基本掌握系统的正常使用及简单维护及处理故障（该项费用并在投标人所报总价内）。</w:t>
      </w:r>
    </w:p>
    <w:p w14:paraId="6BC91DCB">
      <w:pPr>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17.</w:t>
      </w:r>
      <w:r>
        <w:rPr>
          <w:rFonts w:hint="eastAsia" w:ascii="宋体" w:hAnsi="宋体" w:eastAsia="宋体" w:cs="宋体"/>
          <w:b/>
          <w:bCs/>
          <w:color w:val="auto"/>
          <w:sz w:val="24"/>
          <w:szCs w:val="24"/>
          <w:highlight w:val="none"/>
        </w:rPr>
        <w:t>其他要求</w:t>
      </w:r>
    </w:p>
    <w:p w14:paraId="0861FE1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17.1</w:t>
      </w:r>
      <w:r>
        <w:rPr>
          <w:rFonts w:hint="eastAsia" w:ascii="宋体" w:hAnsi="宋体" w:eastAsia="宋体" w:cs="宋体"/>
          <w:color w:val="auto"/>
          <w:sz w:val="24"/>
          <w:szCs w:val="24"/>
          <w:highlight w:val="none"/>
        </w:rPr>
        <w:t>中标人应提供技术服务时所需的技术资料，中标人有责任在保证安全和质量的前提下提供技术服务，包括技术咨询等；</w:t>
      </w:r>
    </w:p>
    <w:p w14:paraId="37DFF7F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17.2</w:t>
      </w:r>
      <w:r>
        <w:rPr>
          <w:rFonts w:hint="eastAsia" w:ascii="宋体" w:hAnsi="宋体" w:eastAsia="宋体" w:cs="宋体"/>
          <w:color w:val="auto"/>
          <w:sz w:val="24"/>
          <w:szCs w:val="24"/>
          <w:highlight w:val="none"/>
        </w:rPr>
        <w:t>所有开发的应用软件未经采购人书面许可，所有版本中不得使用软件加密、硬件加密措施或软硬复合加密等措施，不得设定软件运行时间限制；</w:t>
      </w:r>
    </w:p>
    <w:p w14:paraId="257DD82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17.3</w:t>
      </w:r>
      <w:r>
        <w:rPr>
          <w:rFonts w:hint="eastAsia" w:ascii="宋体" w:hAnsi="宋体" w:eastAsia="宋体" w:cs="宋体"/>
          <w:color w:val="auto"/>
          <w:sz w:val="24"/>
          <w:szCs w:val="24"/>
          <w:highlight w:val="none"/>
        </w:rPr>
        <w:t>未经采购人许可，中标人不得将本项目的数据文件、管理文档等有关资料提供给第三方；</w:t>
      </w:r>
    </w:p>
    <w:p w14:paraId="3303314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17.4</w:t>
      </w:r>
      <w:r>
        <w:rPr>
          <w:rFonts w:hint="eastAsia" w:ascii="宋体" w:hAnsi="宋体" w:eastAsia="宋体" w:cs="宋体"/>
          <w:color w:val="auto"/>
          <w:sz w:val="24"/>
          <w:szCs w:val="24"/>
          <w:highlight w:val="none"/>
        </w:rPr>
        <w:t>项目实施过程中，中标人必须采用正版系统软件和开发工具软件，如因版权问题导致实施计划延误，或受到来自第三方关于侵犯专利权、“应用软件”设计权及其他知识产权的法律指控时，中标人须承担由此而引起的一切责任和费用；</w:t>
      </w:r>
    </w:p>
    <w:p w14:paraId="193E0E7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17.5</w:t>
      </w:r>
      <w:r>
        <w:rPr>
          <w:rFonts w:hint="eastAsia" w:ascii="宋体" w:hAnsi="宋体" w:eastAsia="宋体" w:cs="宋体"/>
          <w:b/>
          <w:bCs/>
          <w:color w:val="auto"/>
          <w:sz w:val="24"/>
          <w:szCs w:val="24"/>
          <w:highlight w:val="none"/>
        </w:rPr>
        <w:t>本项目中软件产品开发需求范围内的开发程序、文件源代码（中间件、系统软件除外）的所有权和知识产权归采购人所有；</w:t>
      </w:r>
    </w:p>
    <w:p w14:paraId="2BD30551">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17.6</w:t>
      </w:r>
      <w:r>
        <w:rPr>
          <w:rFonts w:hint="eastAsia" w:ascii="宋体" w:hAnsi="宋体" w:eastAsia="宋体" w:cs="宋体"/>
          <w:b/>
          <w:bCs/>
          <w:color w:val="auto"/>
          <w:sz w:val="24"/>
          <w:szCs w:val="24"/>
          <w:highlight w:val="none"/>
        </w:rPr>
        <w:t>中标人必须提供全套设计文档、源代码及使用手册。</w:t>
      </w:r>
    </w:p>
    <w:p w14:paraId="333D0EE5">
      <w:pPr>
        <w:pStyle w:val="16"/>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18.</w:t>
      </w:r>
      <w:r>
        <w:rPr>
          <w:rFonts w:hint="eastAsia" w:ascii="宋体" w:hAnsi="宋体" w:eastAsia="宋体" w:cs="宋体"/>
          <w:b/>
          <w:bCs/>
          <w:color w:val="auto"/>
          <w:sz w:val="24"/>
          <w:szCs w:val="24"/>
          <w:highlight w:val="none"/>
        </w:rPr>
        <w:t>违约责任</w:t>
      </w:r>
    </w:p>
    <w:p w14:paraId="2DEE55E8">
      <w:pPr>
        <w:pStyle w:val="16"/>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18.1</w:t>
      </w:r>
      <w:r>
        <w:rPr>
          <w:rFonts w:hint="eastAsia" w:ascii="宋体" w:hAnsi="宋体" w:eastAsia="宋体" w:cs="宋体"/>
          <w:color w:val="auto"/>
          <w:sz w:val="24"/>
          <w:szCs w:val="24"/>
          <w:highlight w:val="none"/>
        </w:rPr>
        <w:t>因中标人原因造成采购合同无法按时签订的，视为中标人违约，对采购人造成损失的，中标人还需另行支付相应的赔偿。</w:t>
      </w:r>
    </w:p>
    <w:p w14:paraId="12681656">
      <w:pPr>
        <w:pStyle w:val="16"/>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18.2</w:t>
      </w:r>
      <w:r>
        <w:rPr>
          <w:rFonts w:hint="eastAsia" w:ascii="宋体" w:hAnsi="宋体" w:eastAsia="宋体" w:cs="宋体"/>
          <w:color w:val="auto"/>
          <w:sz w:val="24"/>
          <w:szCs w:val="24"/>
          <w:highlight w:val="none"/>
        </w:rPr>
        <w:t>在签订采购合同之后，有下列情形之一的，将视为中标人违约，采购人有权追究其责任，并进一步提出追索和索赔：</w:t>
      </w:r>
    </w:p>
    <w:p w14:paraId="20ED2623">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中标人提供的产品实际情况与投标文件响应不符，或未按合同规定的质量要求交货的，采购人有权拒收，由此造成的直接损失和间接损失由中标人赔偿；</w:t>
      </w:r>
    </w:p>
    <w:p w14:paraId="53D8C507">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中标人逾期交货（包括需方提出更改、中标人承诺，但未在承诺的工期内完成等）的，每逾期一天，按合同价格的万分之五偿付违约金；</w:t>
      </w:r>
    </w:p>
    <w:p w14:paraId="4D00C7CC">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中标人未按照招标文件和投标文件提供服务的，每违约一次，按合同价格的千分之一偿付违约金，对采购人造成损失的，中标人还须支付相应的赔偿；</w:t>
      </w:r>
    </w:p>
    <w:p w14:paraId="33E12912">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lang w:eastAsia="zh-CN"/>
        </w:rPr>
        <w:t>）中标人未经采购人同意更换团队人员的，每更换一人按合同价格的千分之五偿付违约金。</w:t>
      </w:r>
    </w:p>
    <w:p w14:paraId="324D8937">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中标人未能按合同规定履行其义务的；</w:t>
      </w:r>
    </w:p>
    <w:p w14:paraId="54D7F628">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6</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在签定采购合同之后，中标人要求解除合同的；</w:t>
      </w:r>
    </w:p>
    <w:p w14:paraId="69EB7407">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18.3</w:t>
      </w:r>
      <w:r>
        <w:rPr>
          <w:rFonts w:hint="eastAsia" w:ascii="宋体" w:hAnsi="宋体" w:eastAsia="宋体" w:cs="宋体"/>
          <w:color w:val="auto"/>
          <w:sz w:val="24"/>
          <w:szCs w:val="24"/>
          <w:highlight w:val="none"/>
        </w:rPr>
        <w:t>在明确违约责任后，中标人应在接到书面通知书起七天内支付违约金、赔偿金等；</w:t>
      </w:r>
    </w:p>
    <w:p w14:paraId="60060310">
      <w:pPr>
        <w:pStyle w:val="16"/>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18.4</w:t>
      </w:r>
      <w:r>
        <w:rPr>
          <w:rFonts w:hint="eastAsia" w:ascii="宋体" w:hAnsi="宋体" w:eastAsia="宋体" w:cs="宋体"/>
          <w:color w:val="auto"/>
          <w:sz w:val="24"/>
          <w:szCs w:val="24"/>
          <w:highlight w:val="none"/>
        </w:rPr>
        <w:t>本招标文件未明确的其它约定事项或条款，待采购人与中标人签订合同时，由双方协商订立。</w:t>
      </w:r>
    </w:p>
    <w:p w14:paraId="32912BF2">
      <w:pPr>
        <w:pStyle w:val="16"/>
        <w:pageBreakBefore w:val="0"/>
        <w:widowControl w:val="0"/>
        <w:kinsoku/>
        <w:wordWrap/>
        <w:overflowPunct/>
        <w:topLinePunct w:val="0"/>
        <w:autoSpaceDE/>
        <w:autoSpaceDN/>
        <w:bidi w:val="0"/>
        <w:spacing w:line="360" w:lineRule="auto"/>
        <w:ind w:left="0" w:leftChars="0" w:right="0" w:firstLine="482"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19.</w:t>
      </w:r>
      <w:r>
        <w:rPr>
          <w:rFonts w:hint="eastAsia" w:ascii="宋体" w:hAnsi="宋体" w:eastAsia="宋体" w:cs="宋体"/>
          <w:b/>
          <w:bCs/>
          <w:color w:val="auto"/>
          <w:sz w:val="24"/>
          <w:szCs w:val="24"/>
          <w:highlight w:val="none"/>
        </w:rPr>
        <w:t>合同变更</w:t>
      </w:r>
    </w:p>
    <w:p w14:paraId="6D684404">
      <w:pPr>
        <w:pStyle w:val="16"/>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19.1</w:t>
      </w:r>
      <w:r>
        <w:rPr>
          <w:rFonts w:hint="eastAsia" w:ascii="宋体" w:hAnsi="宋体" w:eastAsia="宋体" w:cs="宋体"/>
          <w:color w:val="auto"/>
          <w:sz w:val="24"/>
          <w:szCs w:val="24"/>
          <w:highlight w:val="none"/>
        </w:rPr>
        <w:t>本项目合同履行过程中的项目实施变更、合同变更等，由采购人和中标人本着诚实信用、公平公正的原则，另行友好协商约定。</w:t>
      </w:r>
    </w:p>
    <w:p w14:paraId="34ADB508">
      <w:pPr>
        <w:pStyle w:val="16"/>
        <w:pageBreakBefore w:val="0"/>
        <w:widowControl w:val="0"/>
        <w:numPr>
          <w:ilvl w:val="0"/>
          <w:numId w:val="0"/>
        </w:numPr>
        <w:kinsoku/>
        <w:wordWrap/>
        <w:overflowPunct/>
        <w:topLinePunct w:val="0"/>
        <w:autoSpaceDE/>
        <w:autoSpaceDN/>
        <w:bidi w:val="0"/>
        <w:spacing w:line="360" w:lineRule="auto"/>
        <w:ind w:leftChars="0" w:right="0" w:rightChars="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19.2</w:t>
      </w:r>
      <w:r>
        <w:rPr>
          <w:rFonts w:hint="eastAsia" w:ascii="宋体" w:hAnsi="宋体" w:eastAsia="宋体" w:cs="宋体"/>
          <w:color w:val="auto"/>
          <w:sz w:val="24"/>
          <w:szCs w:val="24"/>
          <w:highlight w:val="none"/>
        </w:rPr>
        <w:t>相关约定应当采用书面形式，包括但不限于补充协议、确认函、承诺书、备忘录等任何对采购和中标人两方具备合同约束力的形式。</w:t>
      </w:r>
    </w:p>
    <w:p w14:paraId="502920BE">
      <w:pPr>
        <w:pStyle w:val="24"/>
        <w:pageBreakBefore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四、其他事项</w:t>
      </w:r>
    </w:p>
    <w:p w14:paraId="36247866">
      <w:pPr>
        <w:pStyle w:val="24"/>
        <w:pageBreakBefore w:val="0"/>
        <w:numPr>
          <w:ilvl w:val="255"/>
          <w:numId w:val="0"/>
        </w:numPr>
        <w:kinsoku/>
        <w:wordWrap/>
        <w:overflowPunct/>
        <w:topLinePunct w:val="0"/>
        <w:autoSpaceDE/>
        <w:autoSpaceDN/>
        <w:bidi w:val="0"/>
        <w:adjustRightInd/>
        <w:snapToGrid/>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w:t>
      </w:r>
      <w:r>
        <w:rPr>
          <w:rFonts w:hint="eastAsia" w:asciiTheme="minorEastAsia" w:hAnsiTheme="minorEastAsia" w:eastAsiaTheme="minorEastAsia" w:cstheme="minorEastAsia"/>
          <w:color w:val="auto"/>
          <w:sz w:val="24"/>
          <w:szCs w:val="24"/>
          <w:highlight w:val="none"/>
          <w:lang w:eastAsia="zh-CN"/>
        </w:rPr>
        <w:t>招标文件</w:t>
      </w:r>
      <w:r>
        <w:rPr>
          <w:rFonts w:hint="eastAsia" w:asciiTheme="minorEastAsia" w:hAnsiTheme="minorEastAsia" w:eastAsiaTheme="minorEastAsia" w:cstheme="minorEastAsia"/>
          <w:color w:val="auto"/>
          <w:sz w:val="24"/>
          <w:szCs w:val="24"/>
          <w:highlight w:val="none"/>
        </w:rPr>
        <w:t>另有规定外，若出现有关法律、法规和规章有强制性规定但</w:t>
      </w:r>
      <w:r>
        <w:rPr>
          <w:rFonts w:hint="eastAsia" w:asciiTheme="minorEastAsia" w:hAnsiTheme="minorEastAsia" w:eastAsiaTheme="minorEastAsia" w:cstheme="minorEastAsia"/>
          <w:color w:val="auto"/>
          <w:sz w:val="24"/>
          <w:szCs w:val="24"/>
          <w:highlight w:val="none"/>
          <w:lang w:eastAsia="zh-CN"/>
        </w:rPr>
        <w:t>招标文件</w:t>
      </w:r>
      <w:r>
        <w:rPr>
          <w:rFonts w:hint="eastAsia" w:asciiTheme="minorEastAsia" w:hAnsiTheme="minorEastAsia" w:eastAsiaTheme="minorEastAsia" w:cstheme="minorEastAsia"/>
          <w:color w:val="auto"/>
          <w:sz w:val="24"/>
          <w:szCs w:val="24"/>
          <w:highlight w:val="none"/>
        </w:rPr>
        <w:t>未列明的情形，则</w:t>
      </w:r>
      <w:r>
        <w:rPr>
          <w:rFonts w:hint="eastAsia" w:asciiTheme="minorEastAsia" w:hAnsiTheme="minorEastAsia" w:eastAsiaTheme="minorEastAsia" w:cstheme="minorEastAsia"/>
          <w:color w:val="auto"/>
          <w:sz w:val="24"/>
          <w:szCs w:val="24"/>
          <w:highlight w:val="none"/>
          <w:lang w:eastAsia="zh-CN"/>
        </w:rPr>
        <w:t>投标人</w:t>
      </w:r>
      <w:r>
        <w:rPr>
          <w:rFonts w:hint="eastAsia" w:asciiTheme="minorEastAsia" w:hAnsiTheme="minorEastAsia" w:eastAsiaTheme="minorEastAsia" w:cstheme="minorEastAsia"/>
          <w:color w:val="auto"/>
          <w:sz w:val="24"/>
          <w:szCs w:val="24"/>
          <w:highlight w:val="none"/>
        </w:rPr>
        <w:t>应按照有关法律、法规和规章强制性规定执行。</w:t>
      </w:r>
    </w:p>
    <w:p w14:paraId="6A2E2079">
      <w:pPr>
        <w:pStyle w:val="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color w:val="auto"/>
          <w:spacing w:val="0"/>
          <w:sz w:val="24"/>
          <w:szCs w:val="24"/>
          <w:highlight w:val="none"/>
          <w:lang w:val="en-US" w:eastAsia="zh-CN"/>
        </w:rPr>
      </w:pPr>
      <w:r>
        <w:rPr>
          <w:rFonts w:hint="eastAsia" w:ascii="宋体" w:hAnsi="宋体" w:eastAsia="宋体" w:cs="宋体"/>
          <w:color w:val="auto"/>
          <w:spacing w:val="0"/>
          <w:sz w:val="24"/>
          <w:szCs w:val="24"/>
          <w:highlight w:val="none"/>
          <w:lang w:val="en-US" w:eastAsia="zh-CN"/>
        </w:rPr>
        <w:t>2.报价要求</w:t>
      </w:r>
    </w:p>
    <w:p w14:paraId="211D4910">
      <w:pPr>
        <w:pStyle w:val="1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color w:val="auto"/>
          <w:spacing w:val="0"/>
          <w:kern w:val="0"/>
          <w:sz w:val="24"/>
          <w:szCs w:val="24"/>
          <w:highlight w:val="none"/>
          <w:lang w:val="en-US" w:eastAsia="zh-CN" w:bidi="ar-SA"/>
        </w:rPr>
      </w:pPr>
      <w:r>
        <w:rPr>
          <w:rFonts w:hint="eastAsia" w:ascii="宋体" w:hAnsi="宋体" w:eastAsia="宋体" w:cs="宋体"/>
          <w:color w:val="auto"/>
          <w:spacing w:val="0"/>
          <w:kern w:val="0"/>
          <w:sz w:val="24"/>
          <w:szCs w:val="24"/>
          <w:highlight w:val="none"/>
          <w:lang w:val="en-US" w:eastAsia="zh-CN" w:bidi="ar-SA"/>
        </w:rPr>
        <w:t>①投标人应以包含本项目建设开发及运维期间发生的所有费用进行报价，包括但不限于雇员费用、管理费用、软件系统研发费用、运维服务费用、全额含税增值税专用发票、系统集成与培训费、合同实施过程中的应预见和不可预见的所有费用等。②投标人在运维服务期满时，应确保平台服务能平滑且不受影响地由下一期的服务提供方顺利接管，并开展服务运维。</w:t>
      </w:r>
    </w:p>
    <w:p w14:paraId="3C99E239">
      <w:pPr>
        <w:pStyle w:val="1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宋体" w:hAnsi="宋体" w:eastAsia="宋体" w:cs="宋体"/>
          <w:b/>
          <w:bCs/>
          <w:color w:val="auto"/>
          <w:spacing w:val="0"/>
          <w:kern w:val="0"/>
          <w:sz w:val="24"/>
          <w:szCs w:val="24"/>
          <w:highlight w:val="none"/>
          <w:lang w:val="en-US" w:eastAsia="zh-CN" w:bidi="ar-SA"/>
        </w:rPr>
      </w:pPr>
      <w:r>
        <w:rPr>
          <w:rFonts w:hint="eastAsia" w:ascii="宋体" w:hAnsi="宋体" w:eastAsia="宋体" w:cs="宋体"/>
          <w:b/>
          <w:bCs/>
          <w:color w:val="auto"/>
          <w:spacing w:val="0"/>
          <w:kern w:val="0"/>
          <w:sz w:val="24"/>
          <w:szCs w:val="24"/>
          <w:highlight w:val="none"/>
          <w:lang w:val="en-US" w:eastAsia="zh-CN" w:bidi="ar-SA"/>
        </w:rPr>
        <w:t>3.其他要求</w:t>
      </w:r>
    </w:p>
    <w:p w14:paraId="1EC4F746">
      <w:pPr>
        <w:keepNext w:val="0"/>
        <w:keepLines w:val="0"/>
        <w:pageBreakBefore w:val="0"/>
        <w:numPr>
          <w:ilvl w:val="0"/>
          <w:numId w:val="0"/>
        </w:numPr>
        <w:tabs>
          <w:tab w:val="left" w:pos="420"/>
          <w:tab w:val="left" w:pos="720"/>
        </w:tabs>
        <w:kinsoku/>
        <w:wordWrap/>
        <w:overflowPunct/>
        <w:topLinePunct w:val="0"/>
        <w:autoSpaceDE/>
        <w:autoSpaceDN/>
        <w:bidi w:val="0"/>
        <w:adjustRightInd/>
        <w:snapToGrid/>
        <w:spacing w:line="360" w:lineRule="auto"/>
        <w:ind w:leftChars="0" w:firstLine="482" w:firstLineChars="200"/>
        <w:textAlignment w:val="auto"/>
        <w:rPr>
          <w:rFonts w:hint="eastAsia" w:ascii="宋体" w:hAnsi="宋体" w:eastAsia="宋体" w:cs="宋体"/>
          <w:b/>
          <w:bCs/>
          <w:color w:val="auto"/>
          <w:spacing w:val="0"/>
          <w:kern w:val="0"/>
          <w:sz w:val="24"/>
          <w:szCs w:val="24"/>
          <w:highlight w:val="none"/>
          <w:lang w:val="en-US" w:eastAsia="zh-CN" w:bidi="ar-SA"/>
        </w:rPr>
      </w:pPr>
      <w:r>
        <w:rPr>
          <w:rFonts w:hint="eastAsia" w:ascii="宋体" w:hAnsi="宋体" w:eastAsia="宋体" w:cs="宋体"/>
          <w:b/>
          <w:bCs/>
          <w:color w:val="auto"/>
          <w:spacing w:val="0"/>
          <w:kern w:val="0"/>
          <w:sz w:val="24"/>
          <w:szCs w:val="24"/>
          <w:highlight w:val="none"/>
          <w:lang w:val="en-US" w:eastAsia="zh-CN" w:bidi="ar-SA"/>
        </w:rPr>
        <w:t>3.1投标人可按采购包投标，对同一采购包内所有品目号内容投标时必须完整，评标与授标以采购包为单位。</w:t>
      </w:r>
    </w:p>
    <w:p w14:paraId="287EC035">
      <w:pPr>
        <w:keepNext w:val="0"/>
        <w:keepLines w:val="0"/>
        <w:pageBreakBefore w:val="0"/>
        <w:numPr>
          <w:ilvl w:val="0"/>
          <w:numId w:val="0"/>
        </w:numPr>
        <w:tabs>
          <w:tab w:val="left" w:pos="420"/>
          <w:tab w:val="left" w:pos="720"/>
        </w:tabs>
        <w:kinsoku/>
        <w:wordWrap/>
        <w:overflowPunct/>
        <w:topLinePunct w:val="0"/>
        <w:autoSpaceDE/>
        <w:autoSpaceDN/>
        <w:bidi w:val="0"/>
        <w:adjustRightInd/>
        <w:snapToGrid/>
        <w:spacing w:line="360" w:lineRule="auto"/>
        <w:ind w:leftChars="0" w:firstLine="482" w:firstLineChars="200"/>
        <w:textAlignment w:val="auto"/>
        <w:rPr>
          <w:rFonts w:hint="default" w:ascii="宋体" w:hAnsi="宋体" w:eastAsia="宋体" w:cs="宋体"/>
          <w:b/>
          <w:bCs/>
          <w:color w:val="auto"/>
          <w:spacing w:val="0"/>
          <w:kern w:val="0"/>
          <w:sz w:val="24"/>
          <w:szCs w:val="24"/>
          <w:highlight w:val="none"/>
          <w:lang w:val="en-US" w:eastAsia="zh-CN" w:bidi="ar-SA"/>
        </w:rPr>
      </w:pPr>
      <w:r>
        <w:rPr>
          <w:rFonts w:hint="eastAsia" w:ascii="宋体" w:hAnsi="宋体" w:eastAsia="宋体" w:cs="宋体"/>
          <w:b/>
          <w:bCs/>
          <w:color w:val="auto"/>
          <w:spacing w:val="0"/>
          <w:kern w:val="0"/>
          <w:sz w:val="24"/>
          <w:szCs w:val="24"/>
          <w:highlight w:val="none"/>
          <w:lang w:val="en-US" w:eastAsia="zh-CN" w:bidi="ar-SA"/>
        </w:rPr>
        <w:t>3.2本项目为固定单价合同，数量按实际采购数量进行结算。</w:t>
      </w:r>
    </w:p>
    <w:p w14:paraId="51539FD8">
      <w:pPr>
        <w:pStyle w:val="15"/>
        <w:keepNext w:val="0"/>
        <w:keepLines w:val="0"/>
        <w:pageBreakBefore w:val="0"/>
        <w:widowControl/>
        <w:numPr>
          <w:ilvl w:val="0"/>
          <w:numId w:val="3"/>
        </w:numPr>
        <w:suppressLineNumbers w:val="0"/>
        <w:kinsoku/>
        <w:wordWrap/>
        <w:overflowPunct/>
        <w:topLinePunct w:val="0"/>
        <w:autoSpaceDE/>
        <w:autoSpaceDN/>
        <w:bidi w:val="0"/>
        <w:adjustRightInd/>
        <w:snapToGrid/>
        <w:spacing w:before="0" w:beforeAutospacing="0" w:after="0" w:afterAutospacing="0" w:line="360" w:lineRule="auto"/>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67903741">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36"/>
          <w:highlight w:val="none"/>
        </w:rPr>
        <w:t>第六章 政府采购合同</w:t>
      </w:r>
    </w:p>
    <w:p w14:paraId="61A5C48B">
      <w:pPr>
        <w:pStyle w:val="24"/>
        <w:spacing w:line="360" w:lineRule="auto"/>
        <w:jc w:val="center"/>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rPr>
        <w:t>参考文本</w:t>
      </w:r>
    </w:p>
    <w:p w14:paraId="0B7DDA70">
      <w:pPr>
        <w:pStyle w:val="24"/>
        <w:jc w:val="left"/>
        <w:rPr>
          <w:color w:val="auto"/>
        </w:rPr>
      </w:pPr>
      <w:r>
        <w:rPr>
          <w:color w:val="auto"/>
        </w:rPr>
        <w:t>合同编号：</w:t>
      </w:r>
    </w:p>
    <w:p w14:paraId="0B21576C">
      <w:pPr>
        <w:pStyle w:val="24"/>
        <w:jc w:val="center"/>
        <w:outlineLvl w:val="1"/>
        <w:rPr>
          <w:color w:val="auto"/>
        </w:rPr>
      </w:pPr>
      <w:r>
        <w:rPr>
          <w:b/>
          <w:color w:val="auto"/>
          <w:sz w:val="36"/>
        </w:rPr>
        <w:t xml:space="preserve"> 福建省政府采购合同（服务类）</w:t>
      </w:r>
    </w:p>
    <w:p w14:paraId="6EEDAA85">
      <w:pPr>
        <w:pStyle w:val="24"/>
        <w:jc w:val="center"/>
        <w:outlineLvl w:val="3"/>
        <w:rPr>
          <w:color w:val="auto"/>
        </w:rPr>
      </w:pPr>
      <w:r>
        <w:rPr>
          <w:b/>
          <w:color w:val="auto"/>
          <w:sz w:val="24"/>
        </w:rPr>
        <w:t>编制说明</w:t>
      </w:r>
      <w:r>
        <w:rPr>
          <w:color w:val="auto"/>
        </w:rPr>
        <w:br w:type="textWrapping"/>
      </w:r>
    </w:p>
    <w:p w14:paraId="345F827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1.签订合同应遵守《中华人民共和国政府采购法》及其实施条例、《中华人民共和国民法典》等法律法规及其他有关规定。</w:t>
      </w:r>
    </w:p>
    <w:p w14:paraId="572F623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2.签订合同时，采购人与中标(成交)人应结合采购文件规定填列相应内容。采购文件已有约定的，双方均不得对约定进行变更或调整；采购文件未作规定的，双方可通过友好协商进行约定。</w:t>
      </w:r>
    </w:p>
    <w:p w14:paraId="39D4587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3.政府有关主管部门对若干合同有规范文本的，可使用相应合同文本。</w:t>
      </w:r>
    </w:p>
    <w:p w14:paraId="4A32D69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4.本合同范本仅供参考，采购人应当根据采购项目的实际需求对合同条款进行修改、补充。</w:t>
      </w:r>
    </w:p>
    <w:p w14:paraId="7B5781BE">
      <w:pPr>
        <w:pStyle w:val="24"/>
        <w:keepNext w:val="0"/>
        <w:keepLines w:val="0"/>
        <w:pageBreakBefore w:val="0"/>
        <w:widowControl/>
        <w:kinsoku/>
        <w:wordWrap/>
        <w:overflowPunct/>
        <w:topLinePunct w:val="0"/>
        <w:autoSpaceDE/>
        <w:autoSpaceDN/>
        <w:bidi w:val="0"/>
        <w:adjustRightInd/>
        <w:snapToGrid/>
        <w:spacing w:line="360" w:lineRule="auto"/>
        <w:ind w:left="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甲方：</w:t>
      </w:r>
    </w:p>
    <w:p w14:paraId="3577E88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住所地：________________</w:t>
      </w:r>
    </w:p>
    <w:p w14:paraId="6E3BF63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联系人：________________</w:t>
      </w:r>
    </w:p>
    <w:p w14:paraId="55859B1C">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联系电话：______________</w:t>
      </w:r>
    </w:p>
    <w:p w14:paraId="4FD81AF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传真：________________</w:t>
      </w:r>
    </w:p>
    <w:p w14:paraId="2AB3C6C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电子邮箱：________________</w:t>
      </w:r>
      <w:r>
        <w:rPr>
          <w:rFonts w:hint="eastAsia" w:ascii="宋体" w:hAnsi="宋体" w:eastAsia="宋体" w:cs="宋体"/>
          <w:color w:val="auto"/>
          <w:sz w:val="24"/>
          <w:szCs w:val="24"/>
        </w:rPr>
        <w:br w:type="textWrapping"/>
      </w:r>
    </w:p>
    <w:p w14:paraId="19EAF2C1">
      <w:pPr>
        <w:pStyle w:val="24"/>
        <w:keepNext w:val="0"/>
        <w:keepLines w:val="0"/>
        <w:pageBreakBefore w:val="0"/>
        <w:widowControl/>
        <w:kinsoku/>
        <w:wordWrap/>
        <w:overflowPunct/>
        <w:topLinePunct w:val="0"/>
        <w:autoSpaceDE/>
        <w:autoSpaceDN/>
        <w:bidi w:val="0"/>
        <w:adjustRightInd/>
        <w:snapToGrid/>
        <w:spacing w:line="360" w:lineRule="auto"/>
        <w:ind w:left="0"/>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乙方： ________________</w:t>
      </w:r>
    </w:p>
    <w:p w14:paraId="5C94465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住所地： ________________</w:t>
      </w:r>
    </w:p>
    <w:p w14:paraId="336DB74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联系人：______________</w:t>
      </w:r>
    </w:p>
    <w:p w14:paraId="6D573B6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联系电话：______________</w:t>
      </w:r>
    </w:p>
    <w:p w14:paraId="0E312C58">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传真：________________</w:t>
      </w:r>
    </w:p>
    <w:p w14:paraId="1F85F6EA">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电子邮箱：________________</w:t>
      </w:r>
    </w:p>
    <w:p w14:paraId="38D4C8F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根据项目编号为___________ 的 __________项目（以下简称：“本项目”）的采购结果，遵循平等、自愿、公平和诚实信用的原则，双方签署本合同，具体内容如下：</w:t>
      </w:r>
    </w:p>
    <w:p w14:paraId="530211B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一、合同组成部分</w:t>
      </w:r>
    </w:p>
    <w:p w14:paraId="7E4162A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1.1本合同条款及附件；</w:t>
      </w:r>
    </w:p>
    <w:p w14:paraId="354467D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1.2采购文件及其附件、补充文件；</w:t>
      </w:r>
    </w:p>
    <w:p w14:paraId="06D2CC1C">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1.3乙方的响应文件及其附件、补充文件；</w:t>
      </w:r>
    </w:p>
    <w:p w14:paraId="11D72EFA">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1.4其他文件或材料：</w:t>
      </w:r>
    </w:p>
    <w:p w14:paraId="4D467E2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二、合同标的</w:t>
      </w:r>
      <w:r>
        <w:rPr>
          <w:rFonts w:hint="eastAsia" w:ascii="宋体" w:hAnsi="宋体" w:eastAsia="宋体" w:cs="宋体"/>
          <w:color w:val="auto"/>
          <w:sz w:val="24"/>
          <w:szCs w:val="24"/>
        </w:rPr>
        <w:br w:type="textWrapping"/>
      </w:r>
    </w:p>
    <w:p w14:paraId="4B65C84C">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三、价格形式及合同价款</w:t>
      </w:r>
    </w:p>
    <w:p w14:paraId="13F97F5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4"/>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3.1价格形式</w:t>
      </w:r>
    </w:p>
    <w:p w14:paraId="4D071BE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固定单价合同。完成约定服务事项的含税合同单价为：人民币（大写）元（￥ _____________元）。</w:t>
      </w:r>
    </w:p>
    <w:p w14:paraId="25F8495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固定总价合同。完成约定服务事项的含税服务费用为：人民币（大写）元（￥_____________ 元）。</w:t>
      </w:r>
    </w:p>
    <w:p w14:paraId="3601F26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其他方式。</w:t>
      </w:r>
    </w:p>
    <w:p w14:paraId="4C1CEC4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4"/>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3.2合同价款包含范围</w:t>
      </w:r>
    </w:p>
    <w:p w14:paraId="6F726F9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4"/>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3.3其他需说明的事项：</w:t>
      </w:r>
    </w:p>
    <w:p w14:paraId="308BBCC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四、合同标的及服务范围、地点和时间</w:t>
      </w:r>
    </w:p>
    <w:p w14:paraId="48D3405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4.1项目名称： _____________</w:t>
      </w:r>
    </w:p>
    <w:p w14:paraId="64023A2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4.2服务范围：_____________</w:t>
      </w:r>
    </w:p>
    <w:p w14:paraId="72A2383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4.3服务地点：_____________</w:t>
      </w:r>
    </w:p>
    <w:p w14:paraId="78620E7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4.4服务完成时间：_____________</w:t>
      </w:r>
    </w:p>
    <w:p w14:paraId="025A0769">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五、服务内容、质量标准和要求</w:t>
      </w:r>
    </w:p>
    <w:p w14:paraId="7507A05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5.1服务工作量的计量方式：_____________</w:t>
      </w:r>
    </w:p>
    <w:p w14:paraId="70B5E58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5.2服务内容：_____________</w:t>
      </w:r>
    </w:p>
    <w:p w14:paraId="7E2EA6A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5.3技术保障、服务人员组成、所涉及的货物的质量标准：</w:t>
      </w:r>
    </w:p>
    <w:p w14:paraId="31EC4A7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（1）服务技术保障：_____________</w:t>
      </w:r>
    </w:p>
    <w:p w14:paraId="2F80094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（2）服务人员组成：_____________</w:t>
      </w:r>
    </w:p>
    <w:p w14:paraId="06CBCAB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（3）服务设备及物资投入及质量标准：_____________</w:t>
      </w:r>
    </w:p>
    <w:p w14:paraId="490A6B3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5.4服务质量标准及要求：</w:t>
      </w:r>
    </w:p>
    <w:p w14:paraId="3461E1A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14:paraId="2103836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14:paraId="4A26193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5.4.3其他要求：</w:t>
      </w:r>
    </w:p>
    <w:p w14:paraId="671FB6AC">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六、服务履约验收或考核</w:t>
      </w:r>
    </w:p>
    <w:p w14:paraId="132D866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甲方按照采购文件、乙方的投标或响应文件和本协议约定的服务内容及质量要求按次组织对乙方所提供服务进行验收，或定期进行服务考核，并根据验收或考核结果支付服务费用。具体如下：</w:t>
      </w:r>
    </w:p>
    <w:p w14:paraId="5AEA0D1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七、甲方的权利与义务</w:t>
      </w:r>
    </w:p>
    <w:p w14:paraId="0B71E688">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7.1甲方委派___________为联系人，联系方式 ___________，负责与乙方联系。如甲方联系人发生变更，甲方应书面告知乙方。</w:t>
      </w:r>
    </w:p>
    <w:p w14:paraId="7C63D0A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7.2甲方应为乙方开展服务工作提供必要的工作条件，以及对内对外沟通和配合协助。</w:t>
      </w:r>
    </w:p>
    <w:p w14:paraId="54FBF0B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7.3甲方应于___________之前提供服务所需的全部资料，并对所提供材料真实性、完整性、合法性负责。</w:t>
      </w:r>
    </w:p>
    <w:p w14:paraId="0EC586CF">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14:paraId="2DCE024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7.5甲方应按本合同约定及时足额支付服务费用及相关费用。</w:t>
      </w:r>
    </w:p>
    <w:p w14:paraId="1992BBF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7.6其他</w:t>
      </w:r>
    </w:p>
    <w:p w14:paraId="0C00BE7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八、乙方的权利与义务</w:t>
      </w:r>
    </w:p>
    <w:p w14:paraId="6112BF4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8.1乙方委派___________为联系人，联系方式 ___________，负责与甲方联系。如乙方联系人发生变更，乙方应书面告知甲方</w:t>
      </w:r>
    </w:p>
    <w:p w14:paraId="53112D4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8.2乙方应国家法律法规和{{乙方的权利与义务-响应要求-福建}}等要求开展{{乙方的权利与义务-开展服务-福建}}服务；</w:t>
      </w:r>
    </w:p>
    <w:p w14:paraId="7CCCC89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8.3乙方及其所委派服务人员应按标准或协议约定方式出具服务成果，并对其真实性和合法性负法律责任；</w:t>
      </w:r>
    </w:p>
    <w:p w14:paraId="6133262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8.4乙方对执行业务过程中知悉的国家秘密或甲方的商业秘密保密。除非国家法律法规及行业规范另有规定,或经甲方同意,乙方不得将其知悉的商业秘密和甲方提供的资料对外泄露。</w:t>
      </w:r>
    </w:p>
    <w:p w14:paraId="37A05C2F">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8.5乙方对服务业务应当单独建档，保存完整的工作记录，并对服务过程使用和暂存甲方的文件、材料和财物应当妥善保管。</w:t>
      </w:r>
    </w:p>
    <w:p w14:paraId="469CF46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8.6服务工作结束后,乙方将根据情况对甲方服务相关的管理制度及其他事项等提出改进意见。</w:t>
      </w:r>
    </w:p>
    <w:p w14:paraId="5BDAAD2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8.7乙方完全遵守《中华人民共和国劳动合同法》有关规定和《中华人民共和国妇女权益保障法》中关于“劳动和社会保障权益”的有关要求。</w:t>
      </w:r>
    </w:p>
    <w:p w14:paraId="4715778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8.8其他</w:t>
      </w:r>
    </w:p>
    <w:p w14:paraId="68BC134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九、资金支付方式、时间和条件</w:t>
      </w:r>
      <w:r>
        <w:rPr>
          <w:rFonts w:hint="eastAsia" w:ascii="宋体" w:hAnsi="宋体" w:eastAsia="宋体" w:cs="宋体"/>
          <w:color w:val="auto"/>
          <w:sz w:val="24"/>
          <w:szCs w:val="24"/>
        </w:rPr>
        <w:br w:type="textWrapping"/>
      </w:r>
    </w:p>
    <w:p w14:paraId="3E1A2BC9">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十、履约保证金</w:t>
      </w:r>
    </w:p>
    <w:p w14:paraId="73F516C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□有，□无。具体如下：（按照采购文件规定填写）。</w:t>
      </w:r>
    </w:p>
    <w:p w14:paraId="30A344D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10.1乙方向甲方缴纳人民币 / 元作为本合同的履约保证金。</w:t>
      </w:r>
    </w:p>
    <w:p w14:paraId="08E5644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10.2履约保证金缴纳形式：支票/汇票/电汇/保函等非现金形式。</w:t>
      </w:r>
    </w:p>
    <w:p w14:paraId="5FCF7A8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10.3履约保证金合同履行完毕前有效，合同履行完毕后一次性结清退还。</w:t>
      </w:r>
    </w:p>
    <w:p w14:paraId="108C02A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十一、合同期限</w:t>
      </w:r>
      <w:r>
        <w:rPr>
          <w:rFonts w:hint="eastAsia" w:ascii="宋体" w:hAnsi="宋体" w:eastAsia="宋体" w:cs="宋体"/>
          <w:color w:val="auto"/>
          <w:sz w:val="24"/>
          <w:szCs w:val="24"/>
        </w:rPr>
        <w:br w:type="textWrapping"/>
      </w:r>
    </w:p>
    <w:p w14:paraId="2C4166E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十二、保密条款</w:t>
      </w:r>
    </w:p>
    <w:p w14:paraId="0190664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12.1对于在采购和合同履行过程中所获悉的属于保密的内容，甲、乙双方均负有保密义务。</w:t>
      </w:r>
    </w:p>
    <w:p w14:paraId="39E76C7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12.2其他</w:t>
      </w:r>
    </w:p>
    <w:p w14:paraId="19B7DE8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十三、违约责任</w:t>
      </w:r>
    </w:p>
    <w:p w14:paraId="1020CB6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13.1甲方违约责任</w:t>
      </w:r>
    </w:p>
    <w:p w14:paraId="147AF9E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（1）甲方无正当理由拒绝乙方提供合格服务的，甲方应向乙方偿付所拒收合同总价________的违约金</w:t>
      </w:r>
    </w:p>
    <w:p w14:paraId="1EB5409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（2）甲方无故逾期验收和办理合同款项支付手续的,甲方应按逾期付款总额每日________向乙方支付违约金。</w:t>
      </w:r>
    </w:p>
    <w:p w14:paraId="00FA2D8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（3）其他违约情形</w:t>
      </w:r>
    </w:p>
    <w:p w14:paraId="1FBFEE75">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13.2乙方违约责任</w:t>
      </w:r>
    </w:p>
    <w:p w14:paraId="7ADCA47B">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（1）乙方逾期履行服务的，乙方应按逾期交付总额每日________向甲方支付违约金，由甲方从待付货款中扣除。乙方无正当理由逾期超过约定日期________仍不能交付的，视为“乙方不按合同约定履约”；</w:t>
      </w:r>
    </w:p>
    <w:p w14:paraId="610F657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（2）乙方所履行的服务不符合合同规定及《采购文件》规定标准的，甲方有权拒绝，乙方愿意整改但逾期履行的，按乙方逾期履行处理。乙方拒绝整改的，视为“乙方不按合同约定履约”</w:t>
      </w:r>
    </w:p>
    <w:p w14:paraId="3C6308D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（3）乙方不按合同约定履约的，甲方可以解除采购合同，并对乙方已缴纳的履约保证金作“不予退还”处理。同时，乙方须按以下约定向甲方支付违约金：</w:t>
      </w:r>
    </w:p>
    <w:p w14:paraId="2DC8E5B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（4）其他违约情形</w:t>
      </w:r>
    </w:p>
    <w:p w14:paraId="2FC53B7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十四、不可抗力事件处理</w:t>
      </w:r>
    </w:p>
    <w:p w14:paraId="669E91C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14:paraId="2D9E082F">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十五、解决争议的方法</w:t>
      </w:r>
    </w:p>
    <w:p w14:paraId="007BEA0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15.1甲、乙双方协商解决。</w:t>
      </w:r>
    </w:p>
    <w:p w14:paraId="2B49C2C1">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15.2若协商解决不成，双方明确按以下第_种方式解决：</w:t>
      </w:r>
    </w:p>
    <w:p w14:paraId="5B3356F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1、提交仲裁委员会仲裁，具体如下：</w:t>
      </w:r>
    </w:p>
    <w:p w14:paraId="31A5C049">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2、向人民法院提起诉讼。</w:t>
      </w:r>
    </w:p>
    <w:p w14:paraId="4B402FA8">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十六、合同其他条款</w:t>
      </w:r>
      <w:r>
        <w:rPr>
          <w:rFonts w:hint="eastAsia" w:ascii="宋体" w:hAnsi="宋体" w:eastAsia="宋体" w:cs="宋体"/>
          <w:color w:val="auto"/>
          <w:sz w:val="24"/>
          <w:szCs w:val="24"/>
        </w:rPr>
        <w:br w:type="textWrapping"/>
      </w:r>
    </w:p>
    <w:p w14:paraId="4A28A8A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十七、其他约定</w:t>
      </w:r>
    </w:p>
    <w:p w14:paraId="46A4B16A">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17.1合同文件与本合同具有同等法律效力。</w:t>
      </w:r>
    </w:p>
    <w:p w14:paraId="46B6532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14:paraId="006CF70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17.3本合同未尽事宜，遵照《中华人民共和国民法典》有关条文执行。</w:t>
      </w:r>
    </w:p>
    <w:p w14:paraId="77F481A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17.4本合同正本一式_______份，具有同等法律效力，甲方、乙方各执_______份；副本_______份，_______</w:t>
      </w:r>
    </w:p>
    <w:p w14:paraId="2AB4118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17.5本合同已用于政府采购合同融资，为本项目提供合同融资的金融机构为：_______，甲方应及时将资金支付到本合同乙方账号。</w:t>
      </w:r>
    </w:p>
    <w:p w14:paraId="6AF91A5F">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中标（成交）供应商应于采购合同签订之日起_______内，向发放政采贷的金融机构提交政府采购中标（成交）通知书和政府采购合同，贷款金额以政府采购合同金额为限。</w:t>
      </w:r>
    </w:p>
    <w:p w14:paraId="0DA04DCC">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17.6其他</w:t>
      </w:r>
    </w:p>
    <w:p w14:paraId="52F73EA3">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outlineLvl w:val="3"/>
        <w:rPr>
          <w:rFonts w:hint="eastAsia" w:ascii="宋体" w:hAnsi="宋体" w:eastAsia="宋体" w:cs="宋体"/>
          <w:color w:val="auto"/>
          <w:sz w:val="24"/>
          <w:szCs w:val="24"/>
        </w:rPr>
      </w:pPr>
      <w:r>
        <w:rPr>
          <w:rFonts w:hint="eastAsia" w:ascii="宋体" w:hAnsi="宋体" w:eastAsia="宋体" w:cs="宋体"/>
          <w:b/>
          <w:color w:val="auto"/>
          <w:sz w:val="24"/>
          <w:szCs w:val="24"/>
        </w:rPr>
        <w:t xml:space="preserve"> 十八、合同附件</w:t>
      </w:r>
      <w:r>
        <w:rPr>
          <w:rFonts w:hint="eastAsia" w:ascii="宋体" w:hAnsi="宋体" w:eastAsia="宋体" w:cs="宋体"/>
          <w:color w:val="auto"/>
          <w:sz w:val="24"/>
          <w:szCs w:val="24"/>
        </w:rPr>
        <w:br w:type="textWrapping"/>
      </w:r>
      <w:r>
        <w:rPr>
          <w:rFonts w:hint="eastAsia" w:ascii="宋体" w:hAnsi="宋体" w:eastAsia="宋体" w:cs="宋体"/>
          <w:color w:val="auto"/>
          <w:sz w:val="24"/>
          <w:szCs w:val="24"/>
        </w:rPr>
        <w:br w:type="textWrapping"/>
      </w:r>
    </w:p>
    <w:p w14:paraId="108CAFA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甲方（采购人）：</w:t>
      </w:r>
    </w:p>
    <w:p w14:paraId="761D92C6">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法定（授权）代表人：</w:t>
      </w:r>
    </w:p>
    <w:p w14:paraId="40E038A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纳税人识别号：</w:t>
      </w:r>
    </w:p>
    <w:p w14:paraId="60A61FC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开户银行：</w:t>
      </w:r>
    </w:p>
    <w:p w14:paraId="49178A9E">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账号：</w:t>
      </w:r>
    </w:p>
    <w:p w14:paraId="10598E57">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乙方（中标或成交人）：</w:t>
      </w:r>
    </w:p>
    <w:p w14:paraId="413DD468">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法定（授权）代表人：</w:t>
      </w:r>
    </w:p>
    <w:p w14:paraId="4B355B0D">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纳税人识别号：</w:t>
      </w:r>
    </w:p>
    <w:p w14:paraId="5AC62CE4">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开户银行：</w:t>
      </w:r>
    </w:p>
    <w:p w14:paraId="3B556FDA">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账号：</w:t>
      </w:r>
    </w:p>
    <w:p w14:paraId="06B8ECB2">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签订地点：_____________</w:t>
      </w:r>
    </w:p>
    <w:p w14:paraId="2C5EFF70">
      <w:pPr>
        <w:pStyle w:val="24"/>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签订日期：____年___月___日</w:t>
      </w:r>
    </w:p>
    <w:p w14:paraId="33A6D78C">
      <w:pPr>
        <w:pStyle w:val="24"/>
        <w:jc w:val="center"/>
        <w:rPr>
          <w:rFonts w:asciiTheme="minorEastAsia" w:hAnsiTheme="minorEastAsia" w:cstheme="minorEastAsia"/>
          <w:b/>
          <w:color w:val="auto"/>
          <w:sz w:val="36"/>
          <w:highlight w:val="none"/>
        </w:rPr>
      </w:pPr>
    </w:p>
    <w:p w14:paraId="3CF75CF3">
      <w:pPr>
        <w:rPr>
          <w:rFonts w:asciiTheme="minorEastAsia" w:hAnsiTheme="minorEastAsia" w:cstheme="minorEastAsia"/>
          <w:b/>
          <w:color w:val="auto"/>
          <w:sz w:val="36"/>
          <w:highlight w:val="none"/>
        </w:rPr>
      </w:pPr>
      <w:r>
        <w:rPr>
          <w:rFonts w:asciiTheme="minorEastAsia" w:hAnsiTheme="minorEastAsia" w:cstheme="minorEastAsia"/>
          <w:b/>
          <w:color w:val="auto"/>
          <w:sz w:val="36"/>
          <w:highlight w:val="none"/>
        </w:rPr>
        <w:br w:type="page"/>
      </w:r>
    </w:p>
    <w:p w14:paraId="2C662C41">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36"/>
          <w:highlight w:val="none"/>
        </w:rPr>
        <w:t xml:space="preserve">第七章 </w:t>
      </w:r>
      <w:r>
        <w:rPr>
          <w:rFonts w:asciiTheme="minorEastAsia" w:hAnsiTheme="minorEastAsia" w:cstheme="minorEastAsia"/>
          <w:b/>
          <w:color w:val="auto"/>
          <w:sz w:val="36"/>
          <w:highlight w:val="none"/>
          <w:lang w:eastAsia="zh-CN"/>
        </w:rPr>
        <w:t>投标文件</w:t>
      </w:r>
      <w:r>
        <w:rPr>
          <w:rFonts w:asciiTheme="minorEastAsia" w:hAnsiTheme="minorEastAsia" w:cstheme="minorEastAsia"/>
          <w:b/>
          <w:color w:val="auto"/>
          <w:sz w:val="36"/>
          <w:highlight w:val="none"/>
        </w:rPr>
        <w:t>格式</w:t>
      </w:r>
    </w:p>
    <w:p w14:paraId="48C0DA2B">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编制说明</w:t>
      </w:r>
    </w:p>
    <w:p w14:paraId="52211F8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1、除招标文件另有规定外，本章中：</w:t>
      </w:r>
    </w:p>
    <w:p w14:paraId="316CB29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1.1涉及投标人的“全称”：</w:t>
      </w:r>
    </w:p>
    <w:p w14:paraId="18C1A66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（1）不接受联合体投标的，指投标人的全称。</w:t>
      </w:r>
    </w:p>
    <w:p w14:paraId="75CAC70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（2）接受联合体投标且投标人为联合体的，指牵头方的全称并加注（联合体牵头方），即应表述为：“牵头方的全称（联合体牵头方）”。</w:t>
      </w:r>
    </w:p>
    <w:p w14:paraId="5FEAA9E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1.2涉及投标人“加盖单位公章”：</w:t>
      </w:r>
    </w:p>
    <w:p w14:paraId="40D060D6">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（1）不接受联合体投标的，指加盖投标人的单位公章。</w:t>
      </w:r>
    </w:p>
    <w:p w14:paraId="52DDF708">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（2）接受联合体投标且投标人为联合体的，指加盖联合体牵头方的单位公章。</w:t>
      </w:r>
    </w:p>
    <w:p w14:paraId="32620001">
      <w:pPr>
        <w:pStyle w:val="24"/>
        <w:spacing w:line="480" w:lineRule="exact"/>
        <w:ind w:firstLine="482"/>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lang w:eastAsia="zh-CN"/>
        </w:rPr>
        <w:t>（3）投标人为自然人的，仅需签字盖手印即可。</w:t>
      </w:r>
    </w:p>
    <w:p w14:paraId="7DE4F6B6">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1.3涉及“投标人代表签字”：</w:t>
      </w:r>
    </w:p>
    <w:p w14:paraId="654699BA">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（1）不接受联合体投标的，指由投标人的单位负责人或其授权的委托代理人签字，由委托代理人签字的，应提供“单位授权书”。</w:t>
      </w:r>
    </w:p>
    <w:p w14:paraId="01D9B8A1">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（2）接受联合体投标且投标人为联合体的，指由联合体牵头方的单位负责人或其授权的委托代理人签字，由委托代理人签字的，应提供“单位授权书”。</w:t>
      </w:r>
    </w:p>
    <w:p w14:paraId="4415AB80">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1.4“其他组织”指合伙企业、非企业专业服务机构、个体工商户、农村承包经营户等。</w:t>
      </w:r>
    </w:p>
    <w:p w14:paraId="64AAFCA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1.5“自然人”指具有完全民事行为能力、能够承担民事责任和义务的中国公民。</w:t>
      </w:r>
    </w:p>
    <w:p w14:paraId="69AD0255">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2、除招标文件另有规定外，本章中“投标人的资格及资信证明文件”：</w:t>
      </w:r>
    </w:p>
    <w:p w14:paraId="3A7CDF2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2.1投标人应按照招标文件第四章第1.3条第（2）款规定及本章规定进行编制，如有必要，可增加附页，附页作为资格及资信文件的组成部分。</w:t>
      </w:r>
    </w:p>
    <w:p w14:paraId="243C56A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2.2接受联合体投标且投标人为联合体的，联合体中的各方均应按照本章第2.1条规定提交相应的全部资料。</w:t>
      </w:r>
    </w:p>
    <w:p w14:paraId="4406C12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3、投标人对</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的索引应编制页码。</w:t>
      </w:r>
    </w:p>
    <w:p w14:paraId="2CDD2CE9">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4、本章提供格式仅供参考，投标人应根据自身实际情况制作</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w:t>
      </w:r>
    </w:p>
    <w:p w14:paraId="2F66FAB8">
      <w:pPr>
        <w:rPr>
          <w:rFonts w:asciiTheme="minorEastAsia" w:hAnsiTheme="minorEastAsia" w:cstheme="minorEastAsia"/>
          <w:b/>
          <w:color w:val="auto"/>
          <w:sz w:val="28"/>
          <w:highlight w:val="none"/>
        </w:rPr>
      </w:pPr>
      <w:r>
        <w:rPr>
          <w:rFonts w:hint="eastAsia" w:asciiTheme="minorEastAsia" w:hAnsiTheme="minorEastAsia" w:cstheme="minorEastAsia"/>
          <w:b/>
          <w:color w:val="auto"/>
          <w:sz w:val="28"/>
          <w:highlight w:val="none"/>
        </w:rPr>
        <w:br w:type="page"/>
      </w:r>
    </w:p>
    <w:p w14:paraId="4C6D827A">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封面格式(资格及资信证明部分)</w:t>
      </w:r>
    </w:p>
    <w:p w14:paraId="0E096331">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48"/>
          <w:highlight w:val="none"/>
        </w:rPr>
        <w:t>福建省政府采购投标文件</w:t>
      </w:r>
    </w:p>
    <w:p w14:paraId="257B860F">
      <w:pPr>
        <w:pStyle w:val="24"/>
        <w:jc w:val="center"/>
        <w:rPr>
          <w:rFonts w:hint="default" w:asciiTheme="minorEastAsia" w:hAnsiTheme="minorEastAsia" w:cstheme="minorEastAsia"/>
          <w:b/>
          <w:color w:val="auto"/>
          <w:sz w:val="48"/>
          <w:highlight w:val="none"/>
          <w:lang w:eastAsia="zh-CN"/>
        </w:rPr>
      </w:pPr>
      <w:r>
        <w:rPr>
          <w:rFonts w:asciiTheme="minorEastAsia" w:hAnsiTheme="minorEastAsia" w:cstheme="minorEastAsia"/>
          <w:b/>
          <w:color w:val="auto"/>
          <w:sz w:val="48"/>
          <w:highlight w:val="none"/>
        </w:rPr>
        <w:t>（资格及资信证明部分）</w:t>
      </w:r>
    </w:p>
    <w:p w14:paraId="77DAC6D5">
      <w:pPr>
        <w:pStyle w:val="24"/>
        <w:jc w:val="center"/>
        <w:rPr>
          <w:rFonts w:hint="default" w:asciiTheme="minorEastAsia" w:hAnsiTheme="minorEastAsia" w:cstheme="minorEastAsia"/>
          <w:b/>
          <w:color w:val="auto"/>
          <w:sz w:val="48"/>
          <w:highlight w:val="none"/>
          <w:lang w:eastAsia="zh-CN"/>
        </w:rPr>
      </w:pPr>
    </w:p>
    <w:p w14:paraId="5125319F">
      <w:pPr>
        <w:pStyle w:val="24"/>
        <w:jc w:val="center"/>
        <w:rPr>
          <w:rFonts w:hint="default" w:asciiTheme="minorEastAsia" w:hAnsiTheme="minorEastAsia" w:cstheme="minorEastAsia"/>
          <w:color w:val="auto"/>
          <w:highlight w:val="none"/>
          <w:lang w:eastAsia="zh-CN"/>
        </w:rPr>
      </w:pPr>
    </w:p>
    <w:p w14:paraId="7B56A966">
      <w:pPr>
        <w:pStyle w:val="24"/>
        <w:jc w:val="center"/>
        <w:rPr>
          <w:rFonts w:hint="default" w:asciiTheme="minorEastAsia" w:hAnsiTheme="minorEastAsia" w:cstheme="minorEastAsia"/>
          <w:color w:val="auto"/>
          <w:highlight w:val="none"/>
          <w:lang w:eastAsia="zh-CN"/>
        </w:rPr>
      </w:pPr>
    </w:p>
    <w:p w14:paraId="289E47E7">
      <w:pPr>
        <w:pStyle w:val="24"/>
        <w:jc w:val="center"/>
        <w:rPr>
          <w:rFonts w:hint="default" w:asciiTheme="minorEastAsia" w:hAnsiTheme="minorEastAsia" w:cstheme="minorEastAsia"/>
          <w:b/>
          <w:color w:val="auto"/>
          <w:sz w:val="36"/>
          <w:highlight w:val="none"/>
          <w:lang w:eastAsia="zh-CN"/>
        </w:rPr>
      </w:pPr>
      <w:r>
        <w:rPr>
          <w:rFonts w:asciiTheme="minorEastAsia" w:hAnsiTheme="minorEastAsia" w:cstheme="minorEastAsia"/>
          <w:b/>
          <w:color w:val="auto"/>
          <w:sz w:val="36"/>
          <w:highlight w:val="none"/>
        </w:rPr>
        <w:t>（填写正本或副本）</w:t>
      </w:r>
    </w:p>
    <w:p w14:paraId="0D78B8C4">
      <w:pPr>
        <w:pStyle w:val="24"/>
        <w:jc w:val="center"/>
        <w:rPr>
          <w:rFonts w:hint="default" w:asciiTheme="minorEastAsia" w:hAnsiTheme="minorEastAsia" w:cstheme="minorEastAsia"/>
          <w:b/>
          <w:color w:val="auto"/>
          <w:sz w:val="36"/>
          <w:highlight w:val="none"/>
          <w:lang w:eastAsia="zh-CN"/>
        </w:rPr>
      </w:pPr>
    </w:p>
    <w:p w14:paraId="72EB2704">
      <w:pPr>
        <w:pStyle w:val="24"/>
        <w:jc w:val="center"/>
        <w:rPr>
          <w:rFonts w:hint="default" w:asciiTheme="minorEastAsia" w:hAnsiTheme="minorEastAsia" w:cstheme="minorEastAsia"/>
          <w:color w:val="auto"/>
          <w:highlight w:val="none"/>
          <w:lang w:eastAsia="zh-CN"/>
        </w:rPr>
      </w:pPr>
    </w:p>
    <w:p w14:paraId="7EA10A16">
      <w:pPr>
        <w:pStyle w:val="24"/>
        <w:jc w:val="center"/>
        <w:rPr>
          <w:rFonts w:hint="default" w:asciiTheme="minorEastAsia" w:hAnsiTheme="minorEastAsia" w:cstheme="minorEastAsia"/>
          <w:color w:val="auto"/>
          <w:highlight w:val="none"/>
          <w:lang w:eastAsia="zh-CN"/>
        </w:rPr>
      </w:pPr>
    </w:p>
    <w:p w14:paraId="1A61BFB6">
      <w:pPr>
        <w:pStyle w:val="24"/>
        <w:jc w:val="center"/>
        <w:rPr>
          <w:rFonts w:hint="default" w:asciiTheme="minorEastAsia" w:hAnsiTheme="minorEastAsia" w:cstheme="minorEastAsia"/>
          <w:color w:val="auto"/>
          <w:highlight w:val="none"/>
          <w:lang w:eastAsia="zh-CN"/>
        </w:rPr>
      </w:pPr>
    </w:p>
    <w:p w14:paraId="6D9A6265">
      <w:pPr>
        <w:pStyle w:val="24"/>
        <w:jc w:val="center"/>
        <w:rPr>
          <w:rFonts w:hint="default" w:asciiTheme="minorEastAsia" w:hAnsiTheme="minorEastAsia" w:cstheme="minorEastAsia"/>
          <w:color w:val="auto"/>
          <w:highlight w:val="none"/>
          <w:lang w:eastAsia="zh-CN"/>
        </w:rPr>
      </w:pPr>
    </w:p>
    <w:p w14:paraId="793FC995">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（项目名称：（由投标人填写）</w:t>
      </w:r>
    </w:p>
    <w:p w14:paraId="61B47598">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（备案编号：（由投标人填写）</w:t>
      </w:r>
    </w:p>
    <w:p w14:paraId="16A9276C">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（项目编号：（由投标人填写）</w:t>
      </w:r>
    </w:p>
    <w:p w14:paraId="33193B2E">
      <w:pPr>
        <w:pStyle w:val="24"/>
        <w:jc w:val="center"/>
        <w:rPr>
          <w:rFonts w:hint="default" w:asciiTheme="minorEastAsia" w:hAnsiTheme="minorEastAsia" w:cstheme="minorEastAsia"/>
          <w:b/>
          <w:color w:val="auto"/>
          <w:sz w:val="28"/>
          <w:highlight w:val="none"/>
          <w:lang w:eastAsia="zh-CN"/>
        </w:rPr>
      </w:pPr>
      <w:r>
        <w:rPr>
          <w:rFonts w:asciiTheme="minorEastAsia" w:hAnsiTheme="minorEastAsia" w:cstheme="minorEastAsia"/>
          <w:b/>
          <w:color w:val="auto"/>
          <w:sz w:val="28"/>
          <w:highlight w:val="none"/>
        </w:rPr>
        <w:t>（所投</w:t>
      </w:r>
      <w:r>
        <w:rPr>
          <w:rFonts w:hint="eastAsia" w:asciiTheme="minorEastAsia" w:hAnsiTheme="minorEastAsia" w:cstheme="minorEastAsia"/>
          <w:b/>
          <w:color w:val="auto"/>
          <w:sz w:val="28"/>
          <w:highlight w:val="none"/>
          <w:lang w:eastAsia="zh-CN"/>
        </w:rPr>
        <w:t>采购包</w:t>
      </w:r>
      <w:r>
        <w:rPr>
          <w:rFonts w:asciiTheme="minorEastAsia" w:hAnsiTheme="minorEastAsia" w:cstheme="minorEastAsia"/>
          <w:b/>
          <w:color w:val="auto"/>
          <w:sz w:val="28"/>
          <w:highlight w:val="none"/>
        </w:rPr>
        <w:t>：（由投标人填写）</w:t>
      </w:r>
    </w:p>
    <w:p w14:paraId="4C3A8184">
      <w:pPr>
        <w:pStyle w:val="24"/>
        <w:jc w:val="center"/>
        <w:rPr>
          <w:rFonts w:hint="default" w:asciiTheme="minorEastAsia" w:hAnsiTheme="minorEastAsia" w:cstheme="minorEastAsia"/>
          <w:b/>
          <w:color w:val="auto"/>
          <w:sz w:val="28"/>
          <w:highlight w:val="none"/>
          <w:lang w:eastAsia="zh-CN"/>
        </w:rPr>
      </w:pPr>
    </w:p>
    <w:p w14:paraId="15920C3C">
      <w:pPr>
        <w:pStyle w:val="24"/>
        <w:jc w:val="center"/>
        <w:rPr>
          <w:rFonts w:hint="default" w:asciiTheme="minorEastAsia" w:hAnsiTheme="minorEastAsia" w:cstheme="minorEastAsia"/>
          <w:color w:val="auto"/>
          <w:highlight w:val="none"/>
          <w:lang w:eastAsia="zh-CN"/>
        </w:rPr>
      </w:pPr>
    </w:p>
    <w:p w14:paraId="7050531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投标人：（填写“全称”）</w:t>
      </w:r>
    </w:p>
    <w:p w14:paraId="6868E14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（由投标人填写）年（由投标人填写）月</w:t>
      </w:r>
    </w:p>
    <w:p w14:paraId="19B5ACAA">
      <w:pPr>
        <w:pStyle w:val="24"/>
        <w:rPr>
          <w:rFonts w:hint="default" w:asciiTheme="minorEastAsia" w:hAnsiTheme="minorEastAsia" w:cstheme="minorEastAsia"/>
          <w:color w:val="auto"/>
          <w:highlight w:val="none"/>
        </w:rPr>
      </w:pPr>
    </w:p>
    <w:p w14:paraId="392CC5B3">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661CF647">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922E64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索引</w:t>
      </w:r>
    </w:p>
    <w:p w14:paraId="23918CF4">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一、投标函</w:t>
      </w:r>
    </w:p>
    <w:p w14:paraId="107CBDF4">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二、投标人的资格及资信证明文件</w:t>
      </w:r>
    </w:p>
    <w:p w14:paraId="58C6B78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三、投标保证金</w:t>
      </w:r>
    </w:p>
    <w:p w14:paraId="11ABD58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043A6070">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资格及资信证明部分中不得出现报价部分的全部或部分的投标报价信息（或组成资料），否则资格审查不合格。（联合体协议及分包意向协议中的比例规定，不适用本条款）</w:t>
      </w:r>
    </w:p>
    <w:p w14:paraId="24C301D4">
      <w:pPr>
        <w:pStyle w:val="24"/>
        <w:rPr>
          <w:rFonts w:hint="default" w:asciiTheme="minorEastAsia" w:hAnsiTheme="minorEastAsia" w:cstheme="minorEastAsia"/>
          <w:color w:val="auto"/>
          <w:highlight w:val="none"/>
        </w:rPr>
      </w:pPr>
    </w:p>
    <w:p w14:paraId="6BAD8FC5">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A5609F3">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1811D5E0">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一、投标函</w:t>
      </w:r>
    </w:p>
    <w:p w14:paraId="54FCE5AA">
      <w:pPr>
        <w:pStyle w:val="24"/>
        <w:spacing w:line="480" w:lineRule="exact"/>
        <w:ind w:firstLine="482"/>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lang w:eastAsia="zh-CN"/>
        </w:rPr>
        <w:t>福建省鸿远招标有限公司</w:t>
      </w:r>
    </w:p>
    <w:p w14:paraId="5BE4A9C5">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兹收到贵单位关于（填写“项目名称”）项目（项目编号：　　　　　）的投标邀请，本投标人代表（填写“全名”）已获得我方正式授权并代表投标人（填写“全称”）参加投标，并提交</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。我方提交的全部</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由下述部分组成：</w:t>
      </w:r>
    </w:p>
    <w:p w14:paraId="2EE67C8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（1）资格及资信证明部分</w:t>
      </w:r>
    </w:p>
    <w:p w14:paraId="557824D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①投标函</w:t>
      </w:r>
    </w:p>
    <w:p w14:paraId="47D9E20D">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②投标人的资格及资信证明文件</w:t>
      </w:r>
    </w:p>
    <w:p w14:paraId="51AA784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③投标保证金</w:t>
      </w:r>
    </w:p>
    <w:p w14:paraId="54ED4F3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（2）报价部分</w:t>
      </w:r>
    </w:p>
    <w:p w14:paraId="54C61DB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①开标一览表</w:t>
      </w:r>
    </w:p>
    <w:p w14:paraId="758DDA82">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②投标分项报价表</w:t>
      </w:r>
    </w:p>
    <w:p w14:paraId="55EB89D8">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③招标文件规定的价格扣除证明材料（若有）</w:t>
      </w:r>
    </w:p>
    <w:p w14:paraId="1130241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（3）技术商务部分</w:t>
      </w:r>
    </w:p>
    <w:p w14:paraId="72E6380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①标的说明一览表</w:t>
      </w:r>
    </w:p>
    <w:p w14:paraId="40D301E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②技术和服务要求响应表</w:t>
      </w:r>
    </w:p>
    <w:p w14:paraId="3C7848F6">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③商务条件响应表</w:t>
      </w:r>
    </w:p>
    <w:p w14:paraId="72DE222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④投标人提交的其他资料（若有）</w:t>
      </w:r>
    </w:p>
    <w:p w14:paraId="1FBBE418">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根据本函，本投标人代表宣布我方保证遵守招标文件的全部规定，同时：</w:t>
      </w:r>
    </w:p>
    <w:p w14:paraId="06534C2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1、确认：</w:t>
      </w:r>
    </w:p>
    <w:p w14:paraId="4B975480">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的投标报价详见“开标一览表”及“投标分项报价表”。</w:t>
      </w:r>
    </w:p>
    <w:p w14:paraId="6924D209">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1.2我方已详细审查全部招标文件[包括但不限于：有关附件（若有）、澄清或修改（若有）等]，并自行承担因对全部招标文件理解不正确或误解而产生的相应后果和责任。</w:t>
      </w:r>
    </w:p>
    <w:p w14:paraId="02AE781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2、承诺及声明：</w:t>
      </w:r>
    </w:p>
    <w:p w14:paraId="47475158">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2.1我方具备招标文件第一章载明的“投标人的资格要求”且符合招标文件第三章载明的“二、投标人”之规定，否则投标无效。</w:t>
      </w:r>
    </w:p>
    <w:p w14:paraId="2ACB6551">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2.2我方提交的</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各组成部分的全部内容及资料是不可割离且真实、有效、准确、完整和不具有任何误导性的，否则产生不利后果由我方承担责任。</w:t>
      </w:r>
    </w:p>
    <w:p w14:paraId="21098FB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2.3我方提供的标的价格不高于同期市场价格，否则产生不利后果由我方承担责任。</w:t>
      </w:r>
    </w:p>
    <w:p w14:paraId="5E4438D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2.4投标保证金：若出现招标文件第三章规定的不予退还情形，同意贵单位不予退还。</w:t>
      </w:r>
    </w:p>
    <w:p w14:paraId="5F03B10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2.5投标有效期：按照招标文件第三章规定执行，并在招标文件第二章载明的期限内保持有效。</w:t>
      </w:r>
    </w:p>
    <w:p w14:paraId="605ABBA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2.6若中标，将按照招标文件、我方</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及政府采购合同履行责任和义务。</w:t>
      </w:r>
    </w:p>
    <w:p w14:paraId="374AFD20">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2.7若贵单位要求，我方同意提供与本项目投标有关的一切资料、数据或文件，并完全理解贵单位不一定要接受最低的投标报价或收到的任何投标。</w:t>
      </w:r>
    </w:p>
    <w:p w14:paraId="165CD13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2.8我方承诺</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所提供的全部资料真实可靠，并接受评标委员会、采购人、采购代理机构、监管部门进一步审查其中任何资料真实性的要求。</w:t>
      </w:r>
    </w:p>
    <w:p w14:paraId="484A710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2.9除招标文件另有规定外，对于贵单位按照下述联络方式发出的任何信息或通知，均视为我方已收悉前述信息或通知的全部内容：</w:t>
      </w:r>
    </w:p>
    <w:p w14:paraId="171809B9">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通信地址：             </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w:t>
      </w:r>
    </w:p>
    <w:p w14:paraId="72E3F66D">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邮编：             </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w:t>
      </w:r>
    </w:p>
    <w:p w14:paraId="1033289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联系方法：（包括但不限于：联系人、联系电话、手机、传真、电子邮箱等）</w:t>
      </w:r>
    </w:p>
    <w:p w14:paraId="46A885B3">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2AD6337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2876BA4F">
      <w:pPr>
        <w:pStyle w:val="24"/>
        <w:rPr>
          <w:rFonts w:hint="default" w:asciiTheme="minorEastAsia" w:hAnsiTheme="minorEastAsia" w:cstheme="minorEastAsia"/>
          <w:color w:val="auto"/>
          <w:highlight w:val="none"/>
        </w:rPr>
      </w:pPr>
    </w:p>
    <w:p w14:paraId="4F78C16B">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580BEC10">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1CACD5C2">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二、投标人的资格及资信证明文件</w:t>
      </w:r>
    </w:p>
    <w:p w14:paraId="3C73A15E">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二-1单位授权书（若有）</w:t>
      </w:r>
    </w:p>
    <w:p w14:paraId="0D007F77">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535AC4E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我方的单位负责人</w:t>
      </w:r>
      <w:r>
        <w:rPr>
          <w:rFonts w:asciiTheme="minorEastAsia" w:hAnsiTheme="minorEastAsia" w:cstheme="minorEastAsia"/>
          <w:color w:val="auto"/>
          <w:sz w:val="24"/>
          <w:szCs w:val="24"/>
          <w:highlight w:val="none"/>
          <w:u w:val="single"/>
        </w:rPr>
        <w:t>（填写“单位负责人全名”）</w:t>
      </w:r>
      <w:r>
        <w:rPr>
          <w:rFonts w:asciiTheme="minorEastAsia" w:hAnsiTheme="minorEastAsia" w:cstheme="minorEastAsia"/>
          <w:color w:val="auto"/>
          <w:sz w:val="24"/>
          <w:szCs w:val="24"/>
          <w:highlight w:val="none"/>
        </w:rPr>
        <w:t>授权</w:t>
      </w:r>
      <w:r>
        <w:rPr>
          <w:rFonts w:asciiTheme="minorEastAsia" w:hAnsiTheme="minorEastAsia" w:cstheme="minorEastAsia"/>
          <w:color w:val="auto"/>
          <w:sz w:val="24"/>
          <w:szCs w:val="24"/>
          <w:highlight w:val="none"/>
          <w:u w:val="single"/>
        </w:rPr>
        <w:t>（填写“投标人代表全名”）</w:t>
      </w:r>
      <w:r>
        <w:rPr>
          <w:rFonts w:asciiTheme="minorEastAsia" w:hAnsiTheme="minorEastAsia" w:cstheme="minorEastAsia"/>
          <w:color w:val="auto"/>
          <w:sz w:val="24"/>
          <w:szCs w:val="24"/>
          <w:highlight w:val="none"/>
        </w:rPr>
        <w:t>为投标人代表，代表我方参加</w:t>
      </w:r>
      <w:r>
        <w:rPr>
          <w:rFonts w:asciiTheme="minorEastAsia" w:hAnsiTheme="minorEastAsia" w:cstheme="minorEastAsia"/>
          <w:color w:val="auto"/>
          <w:sz w:val="24"/>
          <w:szCs w:val="24"/>
          <w:highlight w:val="none"/>
          <w:u w:val="single"/>
        </w:rPr>
        <w:t>（填写“项目名称”）</w:t>
      </w:r>
      <w:r>
        <w:rPr>
          <w:rFonts w:asciiTheme="minorEastAsia" w:hAnsiTheme="minorEastAsia" w:cstheme="minorEastAsia"/>
          <w:color w:val="auto"/>
          <w:sz w:val="24"/>
          <w:szCs w:val="24"/>
          <w:highlight w:val="none"/>
        </w:rPr>
        <w:t>项目（项目编号：</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的投标，全权代表我方处理投标过程的一切事宜，包括但不限于：投标、参加开标、谈判、澄清、签约等。投标人代表在投标过程中所签署的一切文件和处理与之有关的一切事务，我方均予以认可并对此承担责任。</w:t>
      </w:r>
    </w:p>
    <w:p w14:paraId="4DB9D0B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投标人代表无转委权。特此授权。</w:t>
      </w:r>
    </w:p>
    <w:p w14:paraId="6E1350E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（以下无正文）</w:t>
      </w:r>
    </w:p>
    <w:p w14:paraId="5479721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单位负责人：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身份证号：</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手机：</w:t>
      </w:r>
      <w:r>
        <w:rPr>
          <w:rFonts w:asciiTheme="minorEastAsia" w:hAnsiTheme="minorEastAsia" w:cstheme="minorEastAsia"/>
          <w:color w:val="auto"/>
          <w:sz w:val="24"/>
          <w:szCs w:val="24"/>
          <w:highlight w:val="none"/>
          <w:u w:val="single"/>
        </w:rPr>
        <w:t>　　　　　</w:t>
      </w:r>
    </w:p>
    <w:p w14:paraId="00477A8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投标人代表：</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身份证号：</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手机：</w:t>
      </w:r>
      <w:r>
        <w:rPr>
          <w:rFonts w:asciiTheme="minorEastAsia" w:hAnsiTheme="minorEastAsia" w:cstheme="minorEastAsia"/>
          <w:color w:val="auto"/>
          <w:sz w:val="24"/>
          <w:szCs w:val="24"/>
          <w:highlight w:val="none"/>
          <w:u w:val="single"/>
        </w:rPr>
        <w:t>　　　　　</w:t>
      </w:r>
    </w:p>
    <w:p w14:paraId="6BBCFF2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授权方</w:t>
      </w:r>
    </w:p>
    <w:p w14:paraId="44039CE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6BF094F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单位负责人签字或盖章：</w:t>
      </w:r>
      <w:r>
        <w:rPr>
          <w:rFonts w:asciiTheme="minorEastAsia" w:hAnsiTheme="minorEastAsia" w:cstheme="minorEastAsia"/>
          <w:color w:val="auto"/>
          <w:sz w:val="24"/>
          <w:szCs w:val="24"/>
          <w:highlight w:val="none"/>
          <w:u w:val="single"/>
        </w:rPr>
        <w:t>　　　　　</w:t>
      </w:r>
    </w:p>
    <w:p w14:paraId="1509B6F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接受授权方</w:t>
      </w:r>
    </w:p>
    <w:p w14:paraId="1F9AA19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lang w:eastAsia="zh-CN"/>
        </w:rPr>
        <w:t>投标人</w:t>
      </w:r>
      <w:r>
        <w:rPr>
          <w:rFonts w:asciiTheme="minorEastAsia" w:hAnsiTheme="minorEastAsia" w:cstheme="minorEastAsia"/>
          <w:color w:val="auto"/>
          <w:sz w:val="24"/>
          <w:szCs w:val="24"/>
          <w:highlight w:val="none"/>
        </w:rPr>
        <w:t>代表签字</w:t>
      </w:r>
      <w:r>
        <w:rPr>
          <w:rFonts w:asciiTheme="minorEastAsia" w:hAnsiTheme="minorEastAsia" w:cstheme="minorEastAsia"/>
          <w:color w:val="auto"/>
          <w:sz w:val="24"/>
          <w:szCs w:val="24"/>
          <w:highlight w:val="none"/>
          <w:u w:val="single"/>
        </w:rPr>
        <w:t>　　            　　　</w:t>
      </w:r>
    </w:p>
    <w:p w14:paraId="5A4FC196">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签署日期： 年 月 日</w:t>
      </w:r>
    </w:p>
    <w:p w14:paraId="14B85BA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附：单位负责人、投标人代表的身份证正反面复印件</w:t>
      </w:r>
    </w:p>
    <w:p w14:paraId="500A1DAD">
      <w:pPr>
        <w:pStyle w:val="24"/>
        <w:spacing w:line="480" w:lineRule="exact"/>
        <w:rPr>
          <w:rFonts w:hint="default" w:asciiTheme="minorEastAsia" w:hAnsiTheme="minorEastAsia" w:cstheme="minorEastAsia"/>
          <w:color w:val="auto"/>
          <w:sz w:val="24"/>
          <w:szCs w:val="24"/>
          <w:highlight w:val="none"/>
        </w:rPr>
      </w:pPr>
    </w:p>
    <w:p w14:paraId="6F7F9DE4">
      <w:pPr>
        <w:pStyle w:val="24"/>
        <w:pBdr>
          <w:top w:val="dashed" w:color="000000" w:sz="4" w:space="0"/>
          <w:left w:val="dashed" w:color="000000" w:sz="4" w:space="0"/>
          <w:bottom w:val="dashed" w:color="000000" w:sz="4" w:space="0"/>
          <w:right w:val="dashed" w:color="000000" w:sz="4" w:space="0"/>
        </w:pBdr>
        <w:spacing w:line="480" w:lineRule="exact"/>
        <w:jc w:val="center"/>
        <w:rPr>
          <w:rFonts w:hint="default" w:asciiTheme="minorEastAsia" w:hAnsiTheme="minorEastAsia" w:cstheme="minorEastAsia"/>
          <w:color w:val="auto"/>
          <w:sz w:val="24"/>
          <w:szCs w:val="24"/>
          <w:highlight w:val="none"/>
        </w:rPr>
      </w:pPr>
    </w:p>
    <w:p w14:paraId="67A0BB41">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要求：真实有效且内容完整、清晰、整洁。</w:t>
      </w:r>
    </w:p>
    <w:p w14:paraId="50BAC42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46A02D7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1、企业（银行、保险、石油石化、电力、电信等行业除外）、事业单位和社会团体法人的“单位负责人”指法定代表人，即与实际提交的“营业执照等证明文件”载明的一致。</w:t>
      </w:r>
    </w:p>
    <w:p w14:paraId="37A5184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14:paraId="4987190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3、投标人（自然人除外）：若投标人代表为单位授权的委托代理人，应提供本授权书；若投标人代表为单位负责人，应在此项下提交其身份证正反面复印件，可不提供本授权书。</w:t>
      </w:r>
    </w:p>
    <w:p w14:paraId="5A7BAD8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4、投标人为自然人的，可不填写本授权书。</w:t>
      </w:r>
    </w:p>
    <w:p w14:paraId="07CAD42F">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77EF116F">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A37836C">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二-2营业执照等证明文件</w:t>
      </w:r>
    </w:p>
    <w:p w14:paraId="04DD6F27">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22A826D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）投标人为法人（包括企业、事业单位和社会团体）的</w:t>
      </w:r>
    </w:p>
    <w:p w14:paraId="27A459A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现附上由</w:t>
      </w:r>
      <w:r>
        <w:rPr>
          <w:rFonts w:asciiTheme="minorEastAsia" w:hAnsiTheme="minorEastAsia" w:cstheme="minorEastAsia"/>
          <w:color w:val="auto"/>
          <w:sz w:val="24"/>
          <w:szCs w:val="24"/>
          <w:highlight w:val="none"/>
          <w:u w:val="single"/>
        </w:rPr>
        <w:t>（（填写“签发机关全称”）</w:t>
      </w:r>
      <w:r>
        <w:rPr>
          <w:rFonts w:asciiTheme="minorEastAsia" w:hAnsiTheme="minorEastAsia" w:cstheme="minorEastAsia"/>
          <w:color w:val="auto"/>
          <w:sz w:val="24"/>
          <w:szCs w:val="24"/>
          <w:highlight w:val="none"/>
        </w:rPr>
        <w:t>签发的我方统一社会信用代码（请填写法人的具体证照名称）复印件，该证明材料真实有效，否则我方负全部责任。</w:t>
      </w:r>
    </w:p>
    <w:p w14:paraId="2BC97F1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）投标人为非法人（包括其他组织、自然人）的</w:t>
      </w:r>
    </w:p>
    <w:p w14:paraId="05F2DA5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□现附上由</w:t>
      </w:r>
      <w:r>
        <w:rPr>
          <w:rFonts w:asciiTheme="minorEastAsia" w:hAnsiTheme="minorEastAsia" w:cstheme="minorEastAsia"/>
          <w:color w:val="auto"/>
          <w:sz w:val="24"/>
          <w:szCs w:val="24"/>
          <w:highlight w:val="none"/>
          <w:u w:val="single"/>
        </w:rPr>
        <w:t>（（填写“签发机关全称”）</w:t>
      </w:r>
      <w:r>
        <w:rPr>
          <w:rFonts w:asciiTheme="minorEastAsia" w:hAnsiTheme="minorEastAsia" w:cstheme="minorEastAsia"/>
          <w:color w:val="auto"/>
          <w:sz w:val="24"/>
          <w:szCs w:val="24"/>
          <w:highlight w:val="none"/>
        </w:rPr>
        <w:t>签发的我方（请填写非自然人的非法人的具体证照名称）复印件，该证明材料真实有效，否则我方负全部责任。</w:t>
      </w:r>
    </w:p>
    <w:p w14:paraId="1772A39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□现附上由</w:t>
      </w:r>
      <w:r>
        <w:rPr>
          <w:rFonts w:asciiTheme="minorEastAsia" w:hAnsiTheme="minorEastAsia" w:cstheme="minorEastAsia"/>
          <w:color w:val="auto"/>
          <w:sz w:val="24"/>
          <w:szCs w:val="24"/>
          <w:highlight w:val="none"/>
          <w:u w:val="single"/>
        </w:rPr>
        <w:t>（（填写“签发机关全称”）</w:t>
      </w:r>
      <w:r>
        <w:rPr>
          <w:rFonts w:asciiTheme="minorEastAsia" w:hAnsiTheme="minorEastAsia" w:cstheme="minorEastAsia"/>
          <w:color w:val="auto"/>
          <w:sz w:val="24"/>
          <w:szCs w:val="24"/>
          <w:highlight w:val="none"/>
        </w:rPr>
        <w:t>签发的我方（请填写自然人的身份证件名称）复印件，该证明材料真实有效，否则我方负全部责任。</w:t>
      </w:r>
    </w:p>
    <w:p w14:paraId="369C4FC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785E423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1、请投标人按照实际情况编制填写，在相应的（）中打“√”并选择相应的“□”（若有）后，再按照本格式的要求提供相应证明材料的复印件。</w:t>
      </w:r>
    </w:p>
    <w:p w14:paraId="3770699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14:paraId="4D20655A">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01B6D02D">
      <w:pPr>
        <w:pStyle w:val="24"/>
        <w:spacing w:line="480" w:lineRule="exact"/>
        <w:ind w:firstLine="480"/>
        <w:jc w:val="right"/>
        <w:rPr>
          <w:rFonts w:hint="default" w:asciiTheme="minorEastAsia" w:hAnsiTheme="minorEastAsia" w:cstheme="minorEastAsia"/>
          <w:color w:val="auto"/>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4FAF52CF">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1472221">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507926C9">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二-3财务状况报告（财务报告、或资信证明）</w:t>
      </w:r>
    </w:p>
    <w:p w14:paraId="5E008E69">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4827EBE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）投标人提供财务报告的</w:t>
      </w:r>
    </w:p>
    <w:p w14:paraId="7AFBA9E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□企业适用：现附上我方</w:t>
      </w:r>
      <w:r>
        <w:rPr>
          <w:rFonts w:asciiTheme="minorEastAsia" w:hAnsiTheme="minorEastAsia" w:cstheme="minorEastAsia"/>
          <w:color w:val="auto"/>
          <w:sz w:val="24"/>
          <w:szCs w:val="24"/>
          <w:highlight w:val="none"/>
          <w:u w:val="single"/>
        </w:rPr>
        <w:t>（填写“具体的年度、或半年度、季度”）</w:t>
      </w:r>
      <w:r>
        <w:rPr>
          <w:rFonts w:asciiTheme="minorEastAsia" w:hAnsiTheme="minorEastAsia" w:cstheme="minorEastAsia"/>
          <w:color w:val="auto"/>
          <w:sz w:val="24"/>
          <w:szCs w:val="24"/>
          <w:highlight w:val="none"/>
        </w:rPr>
        <w:t>财务报告复印件，包括资产负债表、利润表、现金流量表、所有者权益变动表（若有）及其附注（若有）、会计师事务所营业执照和注册会计师资格证书，上述证明材料真实有效，否则我方负全部责任。</w:t>
      </w:r>
    </w:p>
    <w:p w14:paraId="5667310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□事业单位适用：现附上我方</w:t>
      </w:r>
      <w:r>
        <w:rPr>
          <w:rFonts w:asciiTheme="minorEastAsia" w:hAnsiTheme="minorEastAsia" w:cstheme="minorEastAsia"/>
          <w:color w:val="auto"/>
          <w:sz w:val="24"/>
          <w:szCs w:val="24"/>
          <w:highlight w:val="none"/>
          <w:u w:val="single"/>
        </w:rPr>
        <w:t>（填写“具体的年度、或半年度、或季度”）</w:t>
      </w:r>
      <w:r>
        <w:rPr>
          <w:rFonts w:asciiTheme="minorEastAsia" w:hAnsiTheme="minorEastAsia" w:cstheme="minorEastAsia"/>
          <w:color w:val="auto"/>
          <w:sz w:val="24"/>
          <w:szCs w:val="24"/>
          <w:highlight w:val="none"/>
        </w:rPr>
        <w:t>财务报告复印件，包括资产负债表、收入支出表（或收入费用表）、财政补助收入支出表（若有）、会计师事务所营业执照和注册会计师资格证书，上述证明材料真实有效，否则我方负全部责任。</w:t>
      </w:r>
    </w:p>
    <w:p w14:paraId="7FE0278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□社会团体、民办非企适用：现附上我方</w:t>
      </w:r>
      <w:r>
        <w:rPr>
          <w:rFonts w:asciiTheme="minorEastAsia" w:hAnsiTheme="minorEastAsia" w:cstheme="minorEastAsia"/>
          <w:color w:val="auto"/>
          <w:sz w:val="24"/>
          <w:szCs w:val="24"/>
          <w:highlight w:val="none"/>
          <w:u w:val="single"/>
        </w:rPr>
        <w:t>（填写“具体的年度、或半年度、或季度”）</w:t>
      </w:r>
      <w:r>
        <w:rPr>
          <w:rFonts w:asciiTheme="minorEastAsia" w:hAnsiTheme="minorEastAsia" w:cstheme="minorEastAsia"/>
          <w:color w:val="auto"/>
          <w:sz w:val="24"/>
          <w:szCs w:val="24"/>
          <w:highlight w:val="none"/>
        </w:rPr>
        <w:t>财务报告复印件，包括资产负债表、业务活动表、现金流量表、会计师事务所营业执照和注册会计师资格证书，上述证明材料真实有效，否则我方负全部责任。</w:t>
      </w:r>
    </w:p>
    <w:p w14:paraId="1AFC144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）投标人提供资信证明的</w:t>
      </w:r>
    </w:p>
    <w:p w14:paraId="5E6F6BE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□非自然人适用（包括企业、事业单位、社会团体和其他组织）：现附上我方银行：</w:t>
      </w:r>
      <w:r>
        <w:rPr>
          <w:rFonts w:asciiTheme="minorEastAsia" w:hAnsiTheme="minorEastAsia" w:cstheme="minorEastAsia"/>
          <w:color w:val="auto"/>
          <w:sz w:val="24"/>
          <w:szCs w:val="24"/>
          <w:highlight w:val="none"/>
          <w:u w:val="single"/>
        </w:rPr>
        <w:t>（填写“开户银行全称”）</w:t>
      </w:r>
      <w:r>
        <w:rPr>
          <w:rFonts w:asciiTheme="minorEastAsia" w:hAnsiTheme="minorEastAsia" w:cstheme="minorEastAsia"/>
          <w:color w:val="auto"/>
          <w:sz w:val="24"/>
          <w:szCs w:val="24"/>
          <w:highlight w:val="none"/>
        </w:rPr>
        <w:t>出具的资信证明复印件，上述证明材料真实有效，否则我方负全部责任。</w:t>
      </w:r>
    </w:p>
    <w:p w14:paraId="022DD27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□自然人适用：现附上我方银行</w:t>
      </w:r>
      <w:r>
        <w:rPr>
          <w:rFonts w:asciiTheme="minorEastAsia" w:hAnsiTheme="minorEastAsia" w:cstheme="minorEastAsia"/>
          <w:color w:val="auto"/>
          <w:sz w:val="24"/>
          <w:szCs w:val="24"/>
          <w:highlight w:val="none"/>
          <w:u w:val="single"/>
        </w:rPr>
        <w:t>：（填写自然人的“个人账户的开户银行全称”）</w:t>
      </w:r>
      <w:r>
        <w:rPr>
          <w:rFonts w:asciiTheme="minorEastAsia" w:hAnsiTheme="minorEastAsia" w:cstheme="minorEastAsia"/>
          <w:color w:val="auto"/>
          <w:sz w:val="24"/>
          <w:szCs w:val="24"/>
          <w:highlight w:val="none"/>
        </w:rPr>
        <w:t>出具的资信证明复印件，上述证明材料真实有效，否则我方负全部责任。</w:t>
      </w:r>
    </w:p>
    <w:p w14:paraId="36765BB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50159F9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1、请投标人按照实际情况编制填写，在相应的（）中打“√”并选择相应的“□”（若有）后，再按照本格式的要求提供相应证明材料的复印件。</w:t>
      </w:r>
    </w:p>
    <w:p w14:paraId="072061F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2、投标人提供的财务报告复印件（成立年限按照投标截止时间推算）应符合下列规定：</w:t>
      </w:r>
    </w:p>
    <w:p w14:paraId="5000245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2.1成立年限满1年及以上的投标人，提供经审计的招标文件规定的年度财务报告。</w:t>
      </w:r>
    </w:p>
    <w:p w14:paraId="56F6130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2.2成立年限满半年但不足1年的投标人，提供该半年度中任一季度的季度财务报告或该半年度的半年度财务报告。</w:t>
      </w:r>
    </w:p>
    <w:p w14:paraId="2CF76A7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14:paraId="68119D63">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381EEB46">
      <w:pPr>
        <w:pStyle w:val="24"/>
        <w:spacing w:line="480" w:lineRule="exact"/>
        <w:ind w:firstLine="480"/>
        <w:jc w:val="right"/>
        <w:rPr>
          <w:rFonts w:hint="default" w:asciiTheme="minorEastAsia" w:hAnsiTheme="minorEastAsia" w:cstheme="minorEastAsia"/>
          <w:color w:val="auto"/>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2B53BCA3">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E77F175">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二-4依法缴纳税收证明材料</w:t>
      </w:r>
    </w:p>
    <w:p w14:paraId="276B00C7">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39A7282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1、依法缴纳税收的投标人</w:t>
      </w:r>
    </w:p>
    <w:p w14:paraId="136079C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）法人（包括企业、事业单位和社会团体）的</w:t>
      </w:r>
    </w:p>
    <w:p w14:paraId="0FA7938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现附上自</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至</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1A2D70C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）非法人（包括其他组织、自然人）的</w:t>
      </w:r>
    </w:p>
    <w:p w14:paraId="71F989B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现附上自</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至</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期间我方缴纳（包括但不限于税务机关出具的专用收据、税收缴纳证明或税收代缴银行的缴款收讫凭证）等税收凭据复印件，上述证明材料真实有效，否则我方负全部责任。</w:t>
      </w:r>
    </w:p>
    <w:p w14:paraId="085AFC7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2、依法免税的投标人</w:t>
      </w:r>
    </w:p>
    <w:p w14:paraId="0DB6F69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）现附上我方依法免税的证明材料复印件，上述证明材料真实有效，否则我方负全部责任。</w:t>
      </w:r>
    </w:p>
    <w:p w14:paraId="064E56C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25933A5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1、请投标人按照实际情况编制填写，在相应的（）中打“√”，并按照本格式的要求提供相应证明材料的复印件。</w:t>
      </w:r>
    </w:p>
    <w:p w14:paraId="7DFDBAD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2、投标人提供的税收缴纳凭据复印件应符合下列规定：</w:t>
      </w:r>
    </w:p>
    <w:p w14:paraId="1BAB0C7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2.1投标截止时间前（不含投标截止时间的当月）已依法缴纳税收的投标人，提供投标截止时间前六个月（不含投标截止时间的当月）中任一月份的税收缴纳凭据复印件。</w:t>
      </w:r>
    </w:p>
    <w:p w14:paraId="0368604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2.2投标截止时间的当月成立的投标人，视同满足本项资格条件要求。</w:t>
      </w:r>
    </w:p>
    <w:p w14:paraId="1A8AE4D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3、若为依法免税范围的投标人，提供依法免税证明材料的，视同满足本项资格条件要求。</w:t>
      </w:r>
    </w:p>
    <w:p w14:paraId="735608FC">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7F48FC2A">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7DBA1F29">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6B0D9BC3">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71CE4742">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二-5依法缴纳社会保障资金证明材料</w:t>
      </w:r>
    </w:p>
    <w:p w14:paraId="0D876D56">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4890C6E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1、依法缴纳社会保障资金的投标人</w:t>
      </w:r>
    </w:p>
    <w:p w14:paraId="663258E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）法人（包括企业、事业单位和社会团体）的</w:t>
      </w:r>
    </w:p>
    <w:p w14:paraId="4DBC942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现附上自</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至</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1A75A23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）非法人（包括其他组织、自然人）的</w:t>
      </w:r>
    </w:p>
    <w:p w14:paraId="5BFA6B9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自</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至</w:t>
      </w:r>
      <w:r>
        <w:rPr>
          <w:rFonts w:asciiTheme="minorEastAsia" w:hAnsiTheme="minorEastAsia" w:cstheme="minorEastAsia"/>
          <w:color w:val="auto"/>
          <w:sz w:val="24"/>
          <w:szCs w:val="24"/>
          <w:highlight w:val="none"/>
          <w:u w:val="single"/>
        </w:rPr>
        <w:t>　　年　　月　　日</w:t>
      </w:r>
      <w:r>
        <w:rPr>
          <w:rFonts w:asciiTheme="minorEastAsia" w:hAnsiTheme="minorEastAsia" w:cstheme="minorEastAsia"/>
          <w:color w:val="auto"/>
          <w:sz w:val="24"/>
          <w:szCs w:val="24"/>
          <w:highlight w:val="none"/>
        </w:rPr>
        <w:t>我方缴纳的社会保险凭据（限：税务机关/社会保障资金管理机关的专用收据或社会保险缴纳清单，或社会保险的银行缴款收讫凭证）复印件，上述证明材料真实有效，否则我方负全部责任。</w:t>
      </w:r>
    </w:p>
    <w:p w14:paraId="4DABAE9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2、依法不需要缴纳或暂缓缴纳社会保障资金的投标人</w:t>
      </w:r>
    </w:p>
    <w:p w14:paraId="02728BB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）现附上我方依法不需要缴纳或暂缓缴纳社会保障资金证明材料复印件，上述证明材料真实有效，否则我方负全部责任。</w:t>
      </w:r>
    </w:p>
    <w:p w14:paraId="3CB9B46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22C2EEA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1、请投标人按照实际情况编制填写，在相应的（）中打“√”，并按照本格式的要求提供相应证明材料的复印件。</w:t>
      </w:r>
    </w:p>
    <w:p w14:paraId="7F71D91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2、投标人提供的社会保障资金缴纳凭据复印件应符合下列规定：</w:t>
      </w:r>
    </w:p>
    <w:p w14:paraId="149B36B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2.1投标截止时间前（不含投标截止时间的当月）已依法缴纳社会保障资金的投标人，提供投标截止时间前六个月（不含投标截止时间的当月）中任一月份的社会保障资金缴纳凭据复印件。</w:t>
      </w:r>
    </w:p>
    <w:p w14:paraId="68FBF3B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2.2投标截止时间的当月成立的投标人，视同满足本项资格条件要求。</w:t>
      </w:r>
    </w:p>
    <w:p w14:paraId="0AC114B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3、若为依法不需要缴纳或暂缓缴纳社会保障资金的投标人，提供依法不需要缴纳或暂缓缴纳社会保障资金证明材料的，视同满足本项资格条件要求。</w:t>
      </w:r>
    </w:p>
    <w:p w14:paraId="7E3A3F23">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4DA424E8">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3ED69C14">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47E24B63">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7505B4CE">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0"/>
        <w:jc w:val="left"/>
        <w:rPr>
          <w:rFonts w:hint="default" w:asciiTheme="minorEastAsia" w:hAnsiTheme="minorEastAsia" w:cstheme="minorEastAsia"/>
          <w:b/>
          <w:color w:val="auto"/>
          <w:sz w:val="24"/>
          <w:szCs w:val="24"/>
          <w:highlight w:val="none"/>
          <w:lang w:val="en-US" w:eastAsia="zh-CN"/>
        </w:rPr>
      </w:pPr>
      <w:r>
        <w:rPr>
          <w:rFonts w:asciiTheme="minorEastAsia" w:hAnsiTheme="minorEastAsia" w:cstheme="minorEastAsia"/>
          <w:b/>
          <w:color w:val="auto"/>
          <w:sz w:val="24"/>
          <w:szCs w:val="24"/>
          <w:highlight w:val="none"/>
        </w:rPr>
        <w:t>二-5</w:t>
      </w:r>
      <w:r>
        <w:rPr>
          <w:rFonts w:hint="eastAsia" w:asciiTheme="minorEastAsia" w:hAnsiTheme="minorEastAsia" w:cstheme="minorEastAsia"/>
          <w:b/>
          <w:color w:val="auto"/>
          <w:sz w:val="24"/>
          <w:szCs w:val="24"/>
          <w:highlight w:val="none"/>
          <w:lang w:val="en-US" w:eastAsia="zh-CN"/>
        </w:rPr>
        <w:t>-1附件</w:t>
      </w:r>
    </w:p>
    <w:p w14:paraId="34CD555E">
      <w:pPr>
        <w:pStyle w:val="2"/>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24"/>
          <w:szCs w:val="24"/>
        </w:rPr>
      </w:pPr>
      <w:r>
        <w:rPr>
          <w:rFonts w:hint="eastAsia"/>
          <w:sz w:val="24"/>
          <w:szCs w:val="24"/>
          <w:lang w:val="en-US" w:eastAsia="zh-CN"/>
        </w:rPr>
        <w:t>福建省</w:t>
      </w:r>
      <w:r>
        <w:rPr>
          <w:rFonts w:hint="eastAsia"/>
          <w:sz w:val="24"/>
          <w:szCs w:val="24"/>
        </w:rPr>
        <w:t>政府采购供应商资格承诺函</w:t>
      </w:r>
    </w:p>
    <w:p w14:paraId="72F41828">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致(采购人或政府采购代理机构):</w:t>
      </w:r>
    </w:p>
    <w:p w14:paraId="6A1E78CB">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单位名称(自然人姓名):</w:t>
      </w:r>
    </w:p>
    <w:p w14:paraId="63B4D238">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统一社会信用代码(身份证号码):</w:t>
      </w:r>
    </w:p>
    <w:p w14:paraId="15F61FEF">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法定代表人(负责人):</w:t>
      </w:r>
    </w:p>
    <w:p w14:paraId="16B08FBB">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r>
        <w:rPr>
          <w:rFonts w:hint="eastAsia" w:ascii="仿宋" w:hAnsi="仿宋" w:eastAsia="仿宋" w:cs="仿宋"/>
          <w:sz w:val="24"/>
          <w:szCs w:val="24"/>
        </w:rPr>
        <w:t>联系地址和电话:</w:t>
      </w:r>
    </w:p>
    <w:p w14:paraId="1BFDE2A4">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p>
    <w:p w14:paraId="6F45A021">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我单位(本人)自愿参加本次政府采购活动，严格遵守《中华人民共和国政府采购法》及相关法律法规，坚守公开、公平公正和诚实信用等原则，依法诚信经营，并郑重承诺:</w:t>
      </w:r>
    </w:p>
    <w:p w14:paraId="0ACF41BD">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一、我单位(本人)</w:t>
      </w:r>
      <w:r>
        <w:rPr>
          <w:rFonts w:hint="eastAsia" w:ascii="仿宋" w:hAnsi="仿宋" w:eastAsia="仿宋" w:cs="仿宋"/>
          <w:sz w:val="24"/>
          <w:szCs w:val="24"/>
          <w:lang w:val="en-US" w:eastAsia="zh-CN"/>
        </w:rPr>
        <w:t>具备</w:t>
      </w:r>
      <w:r>
        <w:rPr>
          <w:rFonts w:hint="eastAsia" w:ascii="仿宋" w:hAnsi="仿宋" w:eastAsia="仿宋" w:cs="仿宋"/>
          <w:sz w:val="24"/>
          <w:szCs w:val="24"/>
        </w:rPr>
        <w:t>采购文件要求以及《中华人民共和国政府采购法》第二十二条规定的条件:</w:t>
      </w:r>
    </w:p>
    <w:p w14:paraId="705D6570">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1.具有独立承担民事责任的能力;</w:t>
      </w:r>
    </w:p>
    <w:p w14:paraId="317AEE1D">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14:paraId="26289D76">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14:paraId="193A7EC4">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14:paraId="588A0FCC">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5.参加政府采购活动前三年内，在经营活动中没有重大违法记录</w:t>
      </w:r>
      <w:r>
        <w:rPr>
          <w:rFonts w:hint="eastAsia" w:ascii="仿宋" w:hAnsi="仿宋" w:eastAsia="仿宋" w:cs="仿宋"/>
          <w:sz w:val="24"/>
          <w:szCs w:val="24"/>
          <w:lang w:eastAsia="zh-CN"/>
        </w:rPr>
        <w:t>；</w:t>
      </w:r>
    </w:p>
    <w:p w14:paraId="168340F4">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6.</w:t>
      </w:r>
      <w:r>
        <w:rPr>
          <w:rFonts w:hint="eastAsia" w:ascii="仿宋" w:hAnsi="仿宋" w:eastAsia="仿宋" w:cs="仿宋"/>
          <w:sz w:val="24"/>
          <w:szCs w:val="24"/>
          <w:lang w:eastAsia="zh-CN"/>
        </w:rPr>
        <w:t>法律、行政法规规定的其他条件。</w:t>
      </w:r>
    </w:p>
    <w:p w14:paraId="09BB4E15">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53DD53F4">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w:t>
      </w:r>
      <w:r>
        <w:rPr>
          <w:rFonts w:hint="eastAsia" w:ascii="仿宋" w:hAnsi="仿宋" w:eastAsia="仿宋" w:cs="仿宋"/>
          <w:sz w:val="24"/>
          <w:szCs w:val="24"/>
          <w:lang w:eastAsia="zh-CN"/>
        </w:rPr>
        <w:t>和政府采购法律法规有关</w:t>
      </w:r>
      <w:r>
        <w:rPr>
          <w:rFonts w:hint="eastAsia" w:ascii="仿宋" w:hAnsi="仿宋" w:eastAsia="仿宋" w:cs="仿宋"/>
          <w:sz w:val="24"/>
          <w:szCs w:val="24"/>
          <w:lang w:val="en-US" w:eastAsia="zh-CN"/>
        </w:rPr>
        <w:t>规定</w:t>
      </w:r>
      <w:r>
        <w:rPr>
          <w:rFonts w:hint="eastAsia" w:ascii="仿宋" w:hAnsi="仿宋" w:eastAsia="仿宋" w:cs="仿宋"/>
          <w:sz w:val="24"/>
          <w:szCs w:val="24"/>
        </w:rPr>
        <w:t>处理。</w:t>
      </w:r>
    </w:p>
    <w:p w14:paraId="1F42F0A5">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4"/>
          <w:szCs w:val="24"/>
        </w:rPr>
      </w:pPr>
    </w:p>
    <w:p w14:paraId="31069DF8">
      <w:pPr>
        <w:pageBreakBefore w:val="0"/>
        <w:widowControl w:val="0"/>
        <w:kinsoku/>
        <w:wordWrap/>
        <w:overflowPunct/>
        <w:topLinePunct w:val="0"/>
        <w:autoSpaceDE/>
        <w:autoSpaceDN/>
        <w:bidi w:val="0"/>
        <w:adjustRightInd/>
        <w:snapToGrid/>
        <w:spacing w:line="560" w:lineRule="exact"/>
        <w:ind w:firstLine="2640" w:firstLineChars="1100"/>
        <w:textAlignment w:val="auto"/>
        <w:rPr>
          <w:rFonts w:hint="eastAsia" w:ascii="仿宋" w:hAnsi="仿宋" w:eastAsia="仿宋" w:cs="仿宋"/>
          <w:sz w:val="24"/>
          <w:szCs w:val="24"/>
        </w:rPr>
      </w:pPr>
      <w:r>
        <w:rPr>
          <w:rFonts w:hint="eastAsia" w:ascii="仿宋" w:hAnsi="仿宋" w:eastAsia="仿宋" w:cs="仿宋"/>
          <w:sz w:val="24"/>
          <w:szCs w:val="24"/>
        </w:rPr>
        <w:t>供应商名称(单位公章):</w:t>
      </w:r>
    </w:p>
    <w:p w14:paraId="368F6774">
      <w:pPr>
        <w:pageBreakBefore w:val="0"/>
        <w:widowControl w:val="0"/>
        <w:kinsoku/>
        <w:wordWrap/>
        <w:overflowPunct/>
        <w:topLinePunct w:val="0"/>
        <w:autoSpaceDE/>
        <w:autoSpaceDN/>
        <w:bidi w:val="0"/>
        <w:adjustRightInd/>
        <w:snapToGrid/>
        <w:spacing w:line="560" w:lineRule="exact"/>
        <w:ind w:firstLine="2640" w:firstLineChars="1100"/>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年</w:t>
      </w:r>
      <w:r>
        <w:rPr>
          <w:rFonts w:hint="eastAsia" w:ascii="仿宋" w:hAnsi="仿宋" w:eastAsia="仿宋" w:cs="仿宋"/>
          <w:sz w:val="24"/>
          <w:szCs w:val="24"/>
          <w:lang w:val="en-US" w:eastAsia="zh-CN"/>
        </w:rPr>
        <w:t xml:space="preserve">   月   </w:t>
      </w:r>
      <w:r>
        <w:rPr>
          <w:rFonts w:hint="eastAsia" w:ascii="仿宋" w:hAnsi="仿宋" w:eastAsia="仿宋" w:cs="仿宋"/>
          <w:sz w:val="24"/>
          <w:szCs w:val="24"/>
        </w:rPr>
        <w:t>日</w:t>
      </w:r>
    </w:p>
    <w:p w14:paraId="1C8D0B39">
      <w:pPr>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4"/>
          <w:szCs w:val="24"/>
        </w:rPr>
      </w:pPr>
    </w:p>
    <w:p w14:paraId="7912CC25">
      <w:pPr>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24"/>
          <w:szCs w:val="24"/>
        </w:rPr>
      </w:pPr>
    </w:p>
    <w:p w14:paraId="0BCDA1A3">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注:</w:t>
      </w:r>
    </w:p>
    <w:p w14:paraId="09A7E971">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sz w:val="24"/>
          <w:szCs w:val="24"/>
          <w:lang w:eastAsia="zh-CN"/>
        </w:rPr>
      </w:pPr>
      <w:r>
        <w:rPr>
          <w:rFonts w:hint="eastAsia" w:ascii="仿宋" w:hAnsi="仿宋" w:eastAsia="仿宋" w:cs="仿宋"/>
          <w:sz w:val="24"/>
          <w:szCs w:val="24"/>
        </w:rPr>
        <w:t>1.我单位(本人)专指参加政府采购活动的供应商(含自然人)</w:t>
      </w:r>
      <w:r>
        <w:rPr>
          <w:rFonts w:hint="eastAsia" w:ascii="仿宋" w:hAnsi="仿宋" w:eastAsia="仿宋" w:cs="仿宋"/>
          <w:sz w:val="24"/>
          <w:szCs w:val="24"/>
          <w:lang w:eastAsia="zh-CN"/>
        </w:rPr>
        <w:t>；</w:t>
      </w:r>
    </w:p>
    <w:p w14:paraId="5DF31442">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 w:hAnsi="仿宋" w:eastAsia="仿宋" w:cs="仿宋"/>
          <w:sz w:val="24"/>
          <w:szCs w:val="24"/>
          <w:lang w:val="en-US" w:eastAsia="zh-CN"/>
        </w:rPr>
      </w:pPr>
      <w:r>
        <w:rPr>
          <w:rFonts w:hint="eastAsia" w:ascii="仿宋" w:hAnsi="仿宋" w:eastAsia="仿宋" w:cs="仿宋"/>
          <w:sz w:val="24"/>
          <w:szCs w:val="24"/>
        </w:rPr>
        <w:t>2.</w:t>
      </w:r>
      <w:r>
        <w:rPr>
          <w:rFonts w:hint="eastAsia" w:ascii="仿宋" w:hAnsi="仿宋" w:eastAsia="仿宋" w:cs="仿宋"/>
          <w:sz w:val="24"/>
          <w:szCs w:val="24"/>
          <w:lang w:eastAsia="zh-CN"/>
        </w:rPr>
        <w:t>资格承诺的</w:t>
      </w:r>
      <w:r>
        <w:rPr>
          <w:rFonts w:hint="eastAsia" w:ascii="仿宋" w:hAnsi="仿宋" w:eastAsia="仿宋" w:cs="仿宋"/>
          <w:sz w:val="24"/>
          <w:szCs w:val="24"/>
        </w:rPr>
        <w:t>供应商</w:t>
      </w:r>
      <w:r>
        <w:rPr>
          <w:rFonts w:hint="eastAsia" w:ascii="仿宋" w:hAnsi="仿宋" w:eastAsia="仿宋" w:cs="仿宋"/>
          <w:sz w:val="24"/>
          <w:szCs w:val="24"/>
          <w:lang w:eastAsia="zh-CN"/>
        </w:rPr>
        <w:t>应</w:t>
      </w:r>
      <w:r>
        <w:rPr>
          <w:rFonts w:hint="eastAsia" w:ascii="仿宋" w:hAnsi="仿宋" w:eastAsia="仿宋" w:cs="仿宋"/>
          <w:sz w:val="24"/>
          <w:szCs w:val="24"/>
        </w:rPr>
        <w:t>在投标(响应)文件中按此模板提供承诺函，否则，视为</w:t>
      </w:r>
      <w:r>
        <w:rPr>
          <w:rFonts w:hint="eastAsia" w:ascii="仿宋" w:hAnsi="仿宋" w:eastAsia="仿宋" w:cs="仿宋"/>
          <w:sz w:val="24"/>
          <w:szCs w:val="24"/>
          <w:lang w:eastAsia="zh-CN"/>
        </w:rPr>
        <w:t>未按照招标文件规定提交投标人的资格及资信文件，按资格审查不通过处理。</w:t>
      </w:r>
    </w:p>
    <w:p w14:paraId="1F7D66BC">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0"/>
        <w:jc w:val="left"/>
        <w:rPr>
          <w:rFonts w:hint="eastAsia" w:asciiTheme="minorEastAsia" w:hAnsiTheme="minorEastAsia" w:cstheme="minorEastAsia"/>
          <w:b/>
          <w:color w:val="auto"/>
          <w:sz w:val="24"/>
          <w:szCs w:val="24"/>
          <w:highlight w:val="none"/>
          <w:lang w:val="en-US" w:eastAsia="zh-CN"/>
        </w:rPr>
      </w:pPr>
    </w:p>
    <w:p w14:paraId="6258B53C">
      <w:pPr>
        <w:pStyle w:val="24"/>
        <w:spacing w:line="480" w:lineRule="exact"/>
        <w:jc w:val="center"/>
        <w:rPr>
          <w:rFonts w:asciiTheme="minorEastAsia" w:hAnsiTheme="minorEastAsia" w:cstheme="minorEastAsia"/>
          <w:b/>
          <w:color w:val="auto"/>
          <w:sz w:val="24"/>
          <w:szCs w:val="24"/>
          <w:highlight w:val="none"/>
        </w:rPr>
      </w:pPr>
    </w:p>
    <w:p w14:paraId="55466F40">
      <w:pPr>
        <w:pStyle w:val="24"/>
        <w:spacing w:line="480" w:lineRule="exact"/>
        <w:jc w:val="center"/>
        <w:rPr>
          <w:rFonts w:asciiTheme="minorEastAsia" w:hAnsiTheme="minorEastAsia" w:cstheme="minorEastAsia"/>
          <w:b/>
          <w:color w:val="auto"/>
          <w:sz w:val="24"/>
          <w:szCs w:val="24"/>
          <w:highlight w:val="none"/>
        </w:rPr>
      </w:pPr>
    </w:p>
    <w:p w14:paraId="21A7C128">
      <w:pPr>
        <w:pStyle w:val="24"/>
        <w:spacing w:line="480" w:lineRule="exact"/>
        <w:jc w:val="both"/>
        <w:rPr>
          <w:rFonts w:asciiTheme="minorEastAsia" w:hAnsiTheme="minorEastAsia" w:cstheme="minorEastAsia"/>
          <w:b/>
          <w:color w:val="auto"/>
          <w:sz w:val="24"/>
          <w:szCs w:val="24"/>
          <w:highlight w:val="none"/>
        </w:rPr>
      </w:pPr>
    </w:p>
    <w:p w14:paraId="4AF14E8F">
      <w:pPr>
        <w:pStyle w:val="24"/>
        <w:spacing w:line="480" w:lineRule="exact"/>
        <w:jc w:val="both"/>
        <w:rPr>
          <w:rFonts w:asciiTheme="minorEastAsia" w:hAnsiTheme="minorEastAsia" w:cstheme="minorEastAsia"/>
          <w:b/>
          <w:color w:val="auto"/>
          <w:sz w:val="24"/>
          <w:szCs w:val="24"/>
          <w:highlight w:val="none"/>
        </w:rPr>
      </w:pPr>
    </w:p>
    <w:p w14:paraId="16C8071B">
      <w:pPr>
        <w:pStyle w:val="24"/>
        <w:spacing w:line="480" w:lineRule="exact"/>
        <w:jc w:val="both"/>
        <w:rPr>
          <w:rFonts w:asciiTheme="minorEastAsia" w:hAnsiTheme="minorEastAsia" w:cstheme="minorEastAsia"/>
          <w:b/>
          <w:color w:val="auto"/>
          <w:sz w:val="24"/>
          <w:szCs w:val="24"/>
          <w:highlight w:val="none"/>
        </w:rPr>
      </w:pPr>
    </w:p>
    <w:p w14:paraId="78F8566F">
      <w:pPr>
        <w:pStyle w:val="24"/>
        <w:spacing w:line="480" w:lineRule="exact"/>
        <w:jc w:val="both"/>
        <w:rPr>
          <w:rFonts w:asciiTheme="minorEastAsia" w:hAnsiTheme="minorEastAsia" w:cstheme="minorEastAsia"/>
          <w:b/>
          <w:color w:val="auto"/>
          <w:sz w:val="24"/>
          <w:szCs w:val="24"/>
          <w:highlight w:val="none"/>
        </w:rPr>
      </w:pPr>
    </w:p>
    <w:p w14:paraId="0141D99E">
      <w:pPr>
        <w:pStyle w:val="24"/>
        <w:spacing w:line="480" w:lineRule="exact"/>
        <w:jc w:val="both"/>
        <w:rPr>
          <w:rFonts w:asciiTheme="minorEastAsia" w:hAnsiTheme="minorEastAsia" w:cstheme="minorEastAsia"/>
          <w:b/>
          <w:color w:val="auto"/>
          <w:sz w:val="24"/>
          <w:szCs w:val="24"/>
          <w:highlight w:val="none"/>
        </w:rPr>
      </w:pPr>
    </w:p>
    <w:p w14:paraId="11C0E5BD">
      <w:pPr>
        <w:pStyle w:val="24"/>
        <w:spacing w:line="480" w:lineRule="exact"/>
        <w:jc w:val="both"/>
        <w:rPr>
          <w:rFonts w:asciiTheme="minorEastAsia" w:hAnsiTheme="minorEastAsia" w:cstheme="minorEastAsia"/>
          <w:b/>
          <w:color w:val="auto"/>
          <w:sz w:val="24"/>
          <w:szCs w:val="24"/>
          <w:highlight w:val="none"/>
        </w:rPr>
      </w:pPr>
    </w:p>
    <w:p w14:paraId="75144390">
      <w:pPr>
        <w:pStyle w:val="24"/>
        <w:spacing w:line="480" w:lineRule="exact"/>
        <w:jc w:val="both"/>
        <w:rPr>
          <w:rFonts w:asciiTheme="minorEastAsia" w:hAnsiTheme="minorEastAsia" w:cstheme="minorEastAsia"/>
          <w:b/>
          <w:color w:val="auto"/>
          <w:sz w:val="24"/>
          <w:szCs w:val="24"/>
          <w:highlight w:val="none"/>
        </w:rPr>
      </w:pPr>
    </w:p>
    <w:p w14:paraId="15990058">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二-6具备履行合同所必需设备和专业技术能力的声明函（若有）</w:t>
      </w:r>
    </w:p>
    <w:p w14:paraId="32989ED1">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7BC6636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我方具备履行合同所必需的设备和专业技术能力，否则产生不利后果由我方承担责任。</w:t>
      </w:r>
    </w:p>
    <w:p w14:paraId="3F42784D">
      <w:pPr>
        <w:pStyle w:val="24"/>
        <w:spacing w:line="480" w:lineRule="exact"/>
        <w:ind w:firstLine="96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特此声明。</w:t>
      </w:r>
    </w:p>
    <w:p w14:paraId="7121402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0823510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1、招标文件未要求投标人提供“具备履行合同所必需的设备和专业技术能力专项证明材料”的，投标人应提供本声明函。</w:t>
      </w:r>
    </w:p>
    <w:p w14:paraId="69D83BB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2、招标文件要求投标人提供“具备履行合同所必需的设备和专业技术能力专项证明材料”的，投标人可不提供本声明函。</w:t>
      </w:r>
    </w:p>
    <w:p w14:paraId="39079DC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3、请投标人根据实际情况如实声明，否则视为提供虚假材料。</w:t>
      </w:r>
    </w:p>
    <w:p w14:paraId="31D220A4">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69770FA4">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280121CF">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0C033312">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DE779F4">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二-7参加采购活动前三年内在经营活动中没有重大违法记录书面声明</w:t>
      </w:r>
    </w:p>
    <w:p w14:paraId="79E1A01E">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1409733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参加采购活动前三年内，我方在经营活动中没有重大违法记录，即没有因违法经营受到刑事处罚或责令停产停业、吊销许可证或执照、较大数额罚款等行政处罚。否则产生不利后果由我方承担责任。</w:t>
      </w:r>
    </w:p>
    <w:p w14:paraId="427580B7">
      <w:pPr>
        <w:pStyle w:val="24"/>
        <w:spacing w:line="480" w:lineRule="exact"/>
        <w:ind w:firstLine="96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特此声明。</w:t>
      </w:r>
    </w:p>
    <w:p w14:paraId="581F2DE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5758EEE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1581F77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请投标人根据实际情况如实声明，否则视为提供虚假材料。</w:t>
      </w:r>
    </w:p>
    <w:p w14:paraId="342B7088">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7E7342A3">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1C519927">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21E4E2EA">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56733400">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二-8信用记录查询提示</w:t>
      </w:r>
    </w:p>
    <w:p w14:paraId="18CA930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1、由资格审查小组通过网站查询并打印投标人的信用记录。</w:t>
      </w:r>
    </w:p>
    <w:p w14:paraId="66C6BA7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14:paraId="18665EF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3、投标人应了解投标人自身的信用记录情况。当投标人受到200万以上罚款的行政处罚且该罚款不属较大数额罚款时，投标人应在</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中提供此项罚款不属于较大数额罚款的依据（如提供：相关法律制度的规定、行政执法机构对该罚款不属于较大数额罚款的认定或者其他有效依据）。</w:t>
      </w:r>
    </w:p>
    <w:p w14:paraId="7A100F96">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381F8218">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05C570A">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二-9中小企业声明函</w:t>
      </w:r>
    </w:p>
    <w:p w14:paraId="0BE0239A">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（以资格条件落实中小企业扶持政策时适用，若有）</w:t>
      </w:r>
    </w:p>
    <w:p w14:paraId="44C00687">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中小企业声明函（货物）</w:t>
      </w:r>
    </w:p>
    <w:p w14:paraId="31DBD1F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本公司（联合体）郑重声明，根据《政府采购促进中小企业发展管理办法》（财库﹝2020﹞46 号）的规定，本公司（联合体）参加</w:t>
      </w:r>
      <w:r>
        <w:rPr>
          <w:rFonts w:asciiTheme="minorEastAsia" w:hAnsiTheme="minorEastAsia" w:cstheme="minorEastAsia"/>
          <w:color w:val="auto"/>
          <w:sz w:val="24"/>
          <w:szCs w:val="24"/>
          <w:highlight w:val="none"/>
          <w:u w:val="single"/>
        </w:rPr>
        <w:t>（单位名称）</w:t>
      </w:r>
      <w:r>
        <w:rPr>
          <w:rFonts w:asciiTheme="minorEastAsia" w:hAnsiTheme="minorEastAsia" w:cstheme="minorEastAsia"/>
          <w:color w:val="auto"/>
          <w:sz w:val="24"/>
          <w:szCs w:val="24"/>
          <w:highlight w:val="none"/>
        </w:rPr>
        <w:t>的</w:t>
      </w:r>
      <w:r>
        <w:rPr>
          <w:rFonts w:asciiTheme="minorEastAsia" w:hAnsiTheme="minorEastAsia" w:cstheme="minorEastAsia"/>
          <w:color w:val="auto"/>
          <w:sz w:val="24"/>
          <w:szCs w:val="24"/>
          <w:highlight w:val="none"/>
          <w:u w:val="single"/>
        </w:rPr>
        <w:t>（项目名称）</w:t>
      </w:r>
      <w:r>
        <w:rPr>
          <w:rFonts w:asciiTheme="minorEastAsia" w:hAnsiTheme="minorEastAsia" w:cstheme="minorEastAsia"/>
          <w:color w:val="auto"/>
          <w:sz w:val="24"/>
          <w:szCs w:val="24"/>
          <w:highlight w:val="none"/>
        </w:rPr>
        <w:t>采购活动，提供的货物全部由符合政策要求的中小企业制造。相关企业（含联合体中的中小企业、签订分包意向协议的中小企业）的具体情况如下：</w:t>
      </w:r>
    </w:p>
    <w:p w14:paraId="62F5DDC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r>
        <w:rPr>
          <w:rFonts w:asciiTheme="minorEastAsia" w:hAnsiTheme="minorEastAsia" w:cstheme="minorEastAsia"/>
          <w:color w:val="auto"/>
          <w:sz w:val="24"/>
          <w:szCs w:val="24"/>
          <w:highlight w:val="none"/>
          <w:u w:val="single"/>
        </w:rPr>
        <w:t>（标的名称）</w:t>
      </w:r>
      <w:r>
        <w:rPr>
          <w:rFonts w:asciiTheme="minorEastAsia" w:hAnsiTheme="minorEastAsia" w:cstheme="minorEastAsia"/>
          <w:color w:val="auto"/>
          <w:sz w:val="24"/>
          <w:szCs w:val="24"/>
          <w:highlight w:val="none"/>
        </w:rPr>
        <w:t>，属于</w:t>
      </w:r>
      <w:r>
        <w:rPr>
          <w:rFonts w:asciiTheme="minorEastAsia" w:hAnsiTheme="minorEastAsia" w:cstheme="minorEastAsia"/>
          <w:color w:val="auto"/>
          <w:sz w:val="24"/>
          <w:szCs w:val="24"/>
          <w:highlight w:val="none"/>
          <w:u w:val="single"/>
        </w:rPr>
        <w:t>（采购文件中明确的所属行业）</w:t>
      </w:r>
      <w:r>
        <w:rPr>
          <w:rFonts w:asciiTheme="minorEastAsia" w:hAnsiTheme="minorEastAsia" w:cstheme="minorEastAsia"/>
          <w:color w:val="auto"/>
          <w:sz w:val="24"/>
          <w:szCs w:val="24"/>
          <w:highlight w:val="none"/>
        </w:rPr>
        <w:t>行业；制造商为</w:t>
      </w:r>
      <w:r>
        <w:rPr>
          <w:rFonts w:asciiTheme="minorEastAsia" w:hAnsiTheme="minorEastAsia" w:cstheme="minorEastAsia"/>
          <w:color w:val="auto"/>
          <w:sz w:val="24"/>
          <w:szCs w:val="24"/>
          <w:highlight w:val="none"/>
          <w:u w:val="single"/>
        </w:rPr>
        <w:t>（企业名称）</w:t>
      </w:r>
      <w:r>
        <w:rPr>
          <w:rFonts w:asciiTheme="minorEastAsia" w:hAnsiTheme="minorEastAsia" w:cstheme="minorEastAsia"/>
          <w:color w:val="auto"/>
          <w:sz w:val="24"/>
          <w:szCs w:val="24"/>
          <w:highlight w:val="none"/>
        </w:rPr>
        <w:t>，从业人员</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人，营业收入为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万元，资产总额为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万元1，属于</w:t>
      </w:r>
      <w:r>
        <w:rPr>
          <w:rFonts w:asciiTheme="minorEastAsia" w:hAnsiTheme="minorEastAsia" w:cstheme="minorEastAsia"/>
          <w:color w:val="auto"/>
          <w:sz w:val="24"/>
          <w:szCs w:val="24"/>
          <w:highlight w:val="none"/>
          <w:u w:val="single"/>
        </w:rPr>
        <w:t>（中型企业、小型企业、微型企业）</w:t>
      </w:r>
      <w:r>
        <w:rPr>
          <w:rFonts w:asciiTheme="minorEastAsia" w:hAnsiTheme="minorEastAsia" w:cstheme="minorEastAsia"/>
          <w:color w:val="auto"/>
          <w:sz w:val="24"/>
          <w:szCs w:val="24"/>
          <w:highlight w:val="none"/>
        </w:rPr>
        <w:t>；</w:t>
      </w:r>
    </w:p>
    <w:p w14:paraId="7462D3F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w:t>
      </w:r>
      <w:r>
        <w:rPr>
          <w:rFonts w:asciiTheme="minorEastAsia" w:hAnsiTheme="minorEastAsia" w:cstheme="minorEastAsia"/>
          <w:color w:val="auto"/>
          <w:sz w:val="24"/>
          <w:szCs w:val="24"/>
          <w:highlight w:val="none"/>
          <w:u w:val="single"/>
        </w:rPr>
        <w:t>（标的名称）</w:t>
      </w:r>
      <w:r>
        <w:rPr>
          <w:rFonts w:asciiTheme="minorEastAsia" w:hAnsiTheme="minorEastAsia" w:cstheme="minorEastAsia"/>
          <w:color w:val="auto"/>
          <w:sz w:val="24"/>
          <w:szCs w:val="24"/>
          <w:highlight w:val="none"/>
        </w:rPr>
        <w:t>，属于</w:t>
      </w:r>
      <w:r>
        <w:rPr>
          <w:rFonts w:asciiTheme="minorEastAsia" w:hAnsiTheme="minorEastAsia" w:cstheme="minorEastAsia"/>
          <w:color w:val="auto"/>
          <w:sz w:val="24"/>
          <w:szCs w:val="24"/>
          <w:highlight w:val="none"/>
          <w:u w:val="single"/>
        </w:rPr>
        <w:t>（采购文件中明确的所属行业）</w:t>
      </w:r>
      <w:r>
        <w:rPr>
          <w:rFonts w:asciiTheme="minorEastAsia" w:hAnsiTheme="minorEastAsia" w:cstheme="minorEastAsia"/>
          <w:color w:val="auto"/>
          <w:sz w:val="24"/>
          <w:szCs w:val="24"/>
          <w:highlight w:val="none"/>
        </w:rPr>
        <w:t>行业；制造商为</w:t>
      </w:r>
      <w:r>
        <w:rPr>
          <w:rFonts w:asciiTheme="minorEastAsia" w:hAnsiTheme="minorEastAsia" w:cstheme="minorEastAsia"/>
          <w:color w:val="auto"/>
          <w:sz w:val="24"/>
          <w:szCs w:val="24"/>
          <w:highlight w:val="none"/>
          <w:u w:val="single"/>
        </w:rPr>
        <w:t>（企业名称）</w:t>
      </w:r>
      <w:r>
        <w:rPr>
          <w:rFonts w:asciiTheme="minorEastAsia" w:hAnsiTheme="minorEastAsia" w:cstheme="minorEastAsia"/>
          <w:color w:val="auto"/>
          <w:sz w:val="24"/>
          <w:szCs w:val="24"/>
          <w:highlight w:val="none"/>
        </w:rPr>
        <w:t>，从业人员</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人，营业收入为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万元，资产总额为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万元，属于</w:t>
      </w:r>
      <w:r>
        <w:rPr>
          <w:rFonts w:asciiTheme="minorEastAsia" w:hAnsiTheme="minorEastAsia" w:cstheme="minorEastAsia"/>
          <w:color w:val="auto"/>
          <w:sz w:val="24"/>
          <w:szCs w:val="24"/>
          <w:highlight w:val="none"/>
          <w:u w:val="single"/>
        </w:rPr>
        <w:t>（中型企业、小型企业、微型企业）</w:t>
      </w:r>
      <w:r>
        <w:rPr>
          <w:rFonts w:asciiTheme="minorEastAsia" w:hAnsiTheme="minorEastAsia" w:cstheme="minorEastAsia"/>
          <w:color w:val="auto"/>
          <w:sz w:val="24"/>
          <w:szCs w:val="24"/>
          <w:highlight w:val="none"/>
        </w:rPr>
        <w:t>；</w:t>
      </w:r>
    </w:p>
    <w:p w14:paraId="7F08D88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6A4FC55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以上企业，不属于大企业的分支机构，不存在控股股东为大企业的情形，也不存在与大企业的负责人为同一人的情形。</w:t>
      </w:r>
    </w:p>
    <w:p w14:paraId="6D8EDED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本企业对上述声明内容的真实性负责。如有虚假，将依法承担相应责任。</w:t>
      </w:r>
    </w:p>
    <w:p w14:paraId="3B8061E4">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393D4D1D">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1D6890B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0F91904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1、从业人员、营业收入、资产总额填报上一年度数据，无上一年度数据的新成立企业可不填报。</w:t>
      </w:r>
    </w:p>
    <w:p w14:paraId="0F5794F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1CF42BB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7FABDBE3">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A67300F">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中小企业声明函（工程、服务）</w:t>
      </w:r>
    </w:p>
    <w:p w14:paraId="0B30BDC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本公司（联合体）郑重声明，根据《政府采购促进中小企业发展管理办法》（财库﹝2020﹞46 号）的规定，本公司（联合体）参加</w:t>
      </w:r>
      <w:r>
        <w:rPr>
          <w:rFonts w:asciiTheme="minorEastAsia" w:hAnsiTheme="minorEastAsia" w:cstheme="minorEastAsia"/>
          <w:color w:val="auto"/>
          <w:sz w:val="24"/>
          <w:szCs w:val="24"/>
          <w:highlight w:val="none"/>
          <w:u w:val="single"/>
        </w:rPr>
        <w:t>（单位名称）</w:t>
      </w:r>
      <w:r>
        <w:rPr>
          <w:rFonts w:asciiTheme="minorEastAsia" w:hAnsiTheme="minorEastAsia" w:cstheme="minorEastAsia"/>
          <w:color w:val="auto"/>
          <w:sz w:val="24"/>
          <w:szCs w:val="24"/>
          <w:highlight w:val="none"/>
        </w:rPr>
        <w:t>的</w:t>
      </w:r>
      <w:r>
        <w:rPr>
          <w:rFonts w:asciiTheme="minorEastAsia" w:hAnsiTheme="minorEastAsia" w:cstheme="minorEastAsia"/>
          <w:color w:val="auto"/>
          <w:sz w:val="24"/>
          <w:szCs w:val="24"/>
          <w:highlight w:val="none"/>
          <w:u w:val="single"/>
        </w:rPr>
        <w:t>（项目名称）</w:t>
      </w:r>
      <w:r>
        <w:rPr>
          <w:rFonts w:asciiTheme="minorEastAsia" w:hAnsiTheme="minorEastAsia" w:cstheme="minorEastAsia"/>
          <w:color w:val="auto"/>
          <w:sz w:val="24"/>
          <w:szCs w:val="24"/>
          <w:highlight w:val="none"/>
        </w:rPr>
        <w:t>采购活动，工程的施工单位全部为符合政策要求的中小企业（或者：服务全部由符合政策要求的中小企业承接）。相关企业（含联合体中的中小企业、签订分包意向协议的中小企业）的具体情况如下：</w:t>
      </w:r>
    </w:p>
    <w:p w14:paraId="3D03AAA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r>
        <w:rPr>
          <w:rFonts w:asciiTheme="minorEastAsia" w:hAnsiTheme="minorEastAsia" w:cstheme="minorEastAsia"/>
          <w:color w:val="auto"/>
          <w:sz w:val="24"/>
          <w:szCs w:val="24"/>
          <w:highlight w:val="none"/>
          <w:u w:val="single"/>
        </w:rPr>
        <w:t>（标的名称）</w:t>
      </w:r>
      <w:r>
        <w:rPr>
          <w:rFonts w:asciiTheme="minorEastAsia" w:hAnsiTheme="minorEastAsia" w:cstheme="minorEastAsia"/>
          <w:color w:val="auto"/>
          <w:sz w:val="24"/>
          <w:szCs w:val="24"/>
          <w:highlight w:val="none"/>
        </w:rPr>
        <w:t>，属于</w:t>
      </w:r>
      <w:r>
        <w:rPr>
          <w:rFonts w:asciiTheme="minorEastAsia" w:hAnsiTheme="minorEastAsia" w:cstheme="minorEastAsia"/>
          <w:color w:val="auto"/>
          <w:sz w:val="24"/>
          <w:szCs w:val="24"/>
          <w:highlight w:val="none"/>
          <w:u w:val="single"/>
        </w:rPr>
        <w:t>（采购文件中明确的所属行业）</w:t>
      </w:r>
      <w:r>
        <w:rPr>
          <w:rFonts w:asciiTheme="minorEastAsia" w:hAnsiTheme="minorEastAsia" w:cstheme="minorEastAsia"/>
          <w:color w:val="auto"/>
          <w:sz w:val="24"/>
          <w:szCs w:val="24"/>
          <w:highlight w:val="none"/>
        </w:rPr>
        <w:t>；承建（承接）企业为</w:t>
      </w:r>
      <w:r>
        <w:rPr>
          <w:rFonts w:asciiTheme="minorEastAsia" w:hAnsiTheme="minorEastAsia" w:cstheme="minorEastAsia"/>
          <w:color w:val="auto"/>
          <w:sz w:val="24"/>
          <w:szCs w:val="24"/>
          <w:highlight w:val="none"/>
          <w:u w:val="single"/>
        </w:rPr>
        <w:t>（企业名称）</w:t>
      </w:r>
      <w:r>
        <w:rPr>
          <w:rFonts w:asciiTheme="minorEastAsia" w:hAnsiTheme="minorEastAsia" w:cstheme="minorEastAsia"/>
          <w:color w:val="auto"/>
          <w:sz w:val="24"/>
          <w:szCs w:val="24"/>
          <w:highlight w:val="none"/>
        </w:rPr>
        <w:t>，从业人员</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人，营业收入为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万元，资产总额为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万元1，属于</w:t>
      </w:r>
      <w:r>
        <w:rPr>
          <w:rFonts w:asciiTheme="minorEastAsia" w:hAnsiTheme="minorEastAsia" w:cstheme="minorEastAsia"/>
          <w:color w:val="auto"/>
          <w:sz w:val="24"/>
          <w:szCs w:val="24"/>
          <w:highlight w:val="none"/>
          <w:u w:val="single"/>
        </w:rPr>
        <w:t>（中型企业、小型企业、微型企业）</w:t>
      </w:r>
      <w:r>
        <w:rPr>
          <w:rFonts w:asciiTheme="minorEastAsia" w:hAnsiTheme="minorEastAsia" w:cstheme="minorEastAsia"/>
          <w:color w:val="auto"/>
          <w:sz w:val="24"/>
          <w:szCs w:val="24"/>
          <w:highlight w:val="none"/>
        </w:rPr>
        <w:t>；</w:t>
      </w:r>
    </w:p>
    <w:p w14:paraId="1C72E59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w:t>
      </w:r>
      <w:r>
        <w:rPr>
          <w:rFonts w:asciiTheme="minorEastAsia" w:hAnsiTheme="minorEastAsia" w:cstheme="minorEastAsia"/>
          <w:color w:val="auto"/>
          <w:sz w:val="24"/>
          <w:szCs w:val="24"/>
          <w:highlight w:val="none"/>
          <w:u w:val="single"/>
        </w:rPr>
        <w:t>（标的名称）</w:t>
      </w:r>
      <w:r>
        <w:rPr>
          <w:rFonts w:asciiTheme="minorEastAsia" w:hAnsiTheme="minorEastAsia" w:cstheme="minorEastAsia"/>
          <w:color w:val="auto"/>
          <w:sz w:val="24"/>
          <w:szCs w:val="24"/>
          <w:highlight w:val="none"/>
        </w:rPr>
        <w:t>，属于</w:t>
      </w:r>
      <w:r>
        <w:rPr>
          <w:rFonts w:asciiTheme="minorEastAsia" w:hAnsiTheme="minorEastAsia" w:cstheme="minorEastAsia"/>
          <w:color w:val="auto"/>
          <w:sz w:val="24"/>
          <w:szCs w:val="24"/>
          <w:highlight w:val="none"/>
          <w:u w:val="single"/>
        </w:rPr>
        <w:t>（采购文件中明确的所属行业）</w:t>
      </w:r>
      <w:r>
        <w:rPr>
          <w:rFonts w:asciiTheme="minorEastAsia" w:hAnsiTheme="minorEastAsia" w:cstheme="minorEastAsia"/>
          <w:color w:val="auto"/>
          <w:sz w:val="24"/>
          <w:szCs w:val="24"/>
          <w:highlight w:val="none"/>
        </w:rPr>
        <w:t>；承建（承接）企业为</w:t>
      </w:r>
      <w:r>
        <w:rPr>
          <w:rFonts w:asciiTheme="minorEastAsia" w:hAnsiTheme="minorEastAsia" w:cstheme="minorEastAsia"/>
          <w:color w:val="auto"/>
          <w:sz w:val="24"/>
          <w:szCs w:val="24"/>
          <w:highlight w:val="none"/>
          <w:u w:val="single"/>
        </w:rPr>
        <w:t>（企业名称）</w:t>
      </w:r>
      <w:r>
        <w:rPr>
          <w:rFonts w:asciiTheme="minorEastAsia" w:hAnsiTheme="minorEastAsia" w:cstheme="minorEastAsia"/>
          <w:color w:val="auto"/>
          <w:sz w:val="24"/>
          <w:szCs w:val="24"/>
          <w:highlight w:val="none"/>
        </w:rPr>
        <w:t>，从业人员</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人，营业收入为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万元，资产总额为</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万元，属于</w:t>
      </w:r>
      <w:r>
        <w:rPr>
          <w:rFonts w:asciiTheme="minorEastAsia" w:hAnsiTheme="minorEastAsia" w:cstheme="minorEastAsia"/>
          <w:color w:val="auto"/>
          <w:sz w:val="24"/>
          <w:szCs w:val="24"/>
          <w:highlight w:val="none"/>
          <w:u w:val="single"/>
        </w:rPr>
        <w:t>（中型企业、小型企业、微型企业）</w:t>
      </w:r>
      <w:r>
        <w:rPr>
          <w:rFonts w:asciiTheme="minorEastAsia" w:hAnsiTheme="minorEastAsia" w:cstheme="minorEastAsia"/>
          <w:color w:val="auto"/>
          <w:sz w:val="24"/>
          <w:szCs w:val="24"/>
          <w:highlight w:val="none"/>
        </w:rPr>
        <w:t>；</w:t>
      </w:r>
    </w:p>
    <w:p w14:paraId="1998D79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3E193CD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以上企业，不属于大企业的分支机构，不存在控股股东为大企业的情形，也不存在与大企业的负责人为同一人的情形。</w:t>
      </w:r>
    </w:p>
    <w:p w14:paraId="1E532DD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本企业对上述声明内容的真实性负责。如有虚假，将依法承担相应责任。</w:t>
      </w:r>
    </w:p>
    <w:p w14:paraId="1525EB78">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7ABE0055">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762DE29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790548C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1、从业人员、营业收入、资产总额填报上一年度数据，无上一年度数据的新成立企业可不填报。</w:t>
      </w:r>
    </w:p>
    <w:p w14:paraId="63B7471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7319447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1F7CB416">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4117955B">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7565FEAA">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残疾人福利性单位声明函</w:t>
      </w:r>
    </w:p>
    <w:p w14:paraId="4D30CF4D">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（以资格条件落实中小企业扶持政策时适用，若有）</w:t>
      </w:r>
    </w:p>
    <w:p w14:paraId="2FAF115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321C3A7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）提供本投标人制造的（填写“所投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、品目号”）货物，或提供其他残疾人福利性单位制造的（填写“所投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、品目号”）货物（不包括使用非残疾人福利性单位注册商标的货物）。（说明：只有部分货物由残疾人福利企业制造的，在该货物后标※）</w:t>
      </w:r>
    </w:p>
    <w:p w14:paraId="62DC650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）由本投标人承建的（填写“所投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、品目号”）工程</w:t>
      </w:r>
    </w:p>
    <w:p w14:paraId="788A03D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）由本投标人承接的（填写“所投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、品目号”）服务；</w:t>
      </w:r>
    </w:p>
    <w:p w14:paraId="6CB34A6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本投标人对上述声明的真实性负责。如有虚假，将依法承担相应责任。</w:t>
      </w:r>
    </w:p>
    <w:p w14:paraId="709F4E7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p w14:paraId="5A3181D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1、请投标人按照实际情况编制填写本声明函，并在相应的（）中打“√”。</w:t>
      </w:r>
    </w:p>
    <w:p w14:paraId="15D19C8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2、若《残疾人福利性单位声明函》内容不真实，视为提供虚假材料。</w:t>
      </w:r>
    </w:p>
    <w:p w14:paraId="771FB172">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788B275C">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5D385E2D">
      <w:pPr>
        <w:pStyle w:val="24"/>
        <w:spacing w:line="480" w:lineRule="exact"/>
        <w:ind w:firstLine="480"/>
        <w:rPr>
          <w:rFonts w:hint="default" w:asciiTheme="minorEastAsia" w:hAnsiTheme="minorEastAsia" w:cstheme="minorEastAsia"/>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7DEF82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附：</w:t>
      </w:r>
    </w:p>
    <w:p w14:paraId="38E8C4AA">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监狱企业证明材料</w:t>
      </w:r>
    </w:p>
    <w:p w14:paraId="7D0A4CB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投标人为监狱企业，提供本单位制造的货物（承接的服务），并在</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中提供省级以上监狱管理局、戒毒管理局（含新疆生产建设兵团）出具的属于监狱企业的证明文件。</w:t>
      </w:r>
    </w:p>
    <w:p w14:paraId="6ED8092A">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41DA5B0D">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6BBA9A4F">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二-10联合体协议（若有）</w:t>
      </w:r>
    </w:p>
    <w:p w14:paraId="130D5AB8">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2738621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兹有</w:t>
      </w:r>
      <w:r>
        <w:rPr>
          <w:rFonts w:asciiTheme="minorEastAsia" w:hAnsiTheme="minorEastAsia" w:cstheme="minorEastAsia"/>
          <w:color w:val="auto"/>
          <w:sz w:val="24"/>
          <w:szCs w:val="24"/>
          <w:highlight w:val="none"/>
          <w:u w:val="single"/>
        </w:rPr>
        <w:t>（填写“联合体中各方的全称”，各方的全称之间请用“、”分割）</w:t>
      </w:r>
      <w:r>
        <w:rPr>
          <w:rFonts w:asciiTheme="minorEastAsia" w:hAnsiTheme="minorEastAsia" w:cstheme="minorEastAsia"/>
          <w:color w:val="auto"/>
          <w:sz w:val="24"/>
          <w:szCs w:val="24"/>
          <w:highlight w:val="none"/>
        </w:rPr>
        <w:t>自愿组成联合体，共同参加</w:t>
      </w:r>
      <w:r>
        <w:rPr>
          <w:rFonts w:asciiTheme="minorEastAsia" w:hAnsiTheme="minorEastAsia" w:cstheme="minorEastAsia"/>
          <w:color w:val="auto"/>
          <w:sz w:val="24"/>
          <w:szCs w:val="24"/>
          <w:highlight w:val="none"/>
          <w:u w:val="single"/>
        </w:rPr>
        <w:t>（填写“项目名称”）</w:t>
      </w:r>
      <w:r>
        <w:rPr>
          <w:rFonts w:asciiTheme="minorEastAsia" w:hAnsiTheme="minorEastAsia" w:cstheme="minorEastAsia"/>
          <w:color w:val="auto"/>
          <w:sz w:val="24"/>
          <w:szCs w:val="24"/>
          <w:highlight w:val="none"/>
        </w:rPr>
        <w:t>项目（项目编号：</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）的投标。现就联合体参加本项目投标的有关事宜达成下列协议：</w:t>
      </w:r>
    </w:p>
    <w:p w14:paraId="68A0D4C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一、联合体各方应承担的工作和义务具体如下：</w:t>
      </w:r>
    </w:p>
    <w:p w14:paraId="27DFA29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1、牵头方（全称）：</w:t>
      </w:r>
      <w:r>
        <w:rPr>
          <w:rFonts w:asciiTheme="minorEastAsia" w:hAnsiTheme="minorEastAsia" w:cstheme="minorEastAsia"/>
          <w:color w:val="auto"/>
          <w:sz w:val="24"/>
          <w:szCs w:val="24"/>
          <w:highlight w:val="none"/>
          <w:u w:val="single"/>
        </w:rPr>
        <w:t>（填写“工作及义务的具体内容”）</w:t>
      </w:r>
      <w:r>
        <w:rPr>
          <w:rFonts w:asciiTheme="minorEastAsia" w:hAnsiTheme="minorEastAsia" w:cstheme="minorEastAsia"/>
          <w:color w:val="auto"/>
          <w:sz w:val="24"/>
          <w:szCs w:val="24"/>
          <w:highlight w:val="none"/>
        </w:rPr>
        <w:t>；</w:t>
      </w:r>
    </w:p>
    <w:p w14:paraId="541D04A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2、成员方：</w:t>
      </w:r>
    </w:p>
    <w:p w14:paraId="35813BA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2.1（成员一的全称）：</w:t>
      </w:r>
      <w:r>
        <w:rPr>
          <w:rFonts w:asciiTheme="minorEastAsia" w:hAnsiTheme="minorEastAsia" w:cstheme="minorEastAsia"/>
          <w:color w:val="auto"/>
          <w:sz w:val="24"/>
          <w:szCs w:val="24"/>
          <w:highlight w:val="none"/>
          <w:u w:val="single"/>
        </w:rPr>
        <w:t>（填写“工作及义务的具体内容”）</w:t>
      </w:r>
      <w:r>
        <w:rPr>
          <w:rFonts w:asciiTheme="minorEastAsia" w:hAnsiTheme="minorEastAsia" w:cstheme="minorEastAsia"/>
          <w:color w:val="auto"/>
          <w:sz w:val="24"/>
          <w:szCs w:val="24"/>
          <w:highlight w:val="none"/>
        </w:rPr>
        <w:t>；</w:t>
      </w:r>
    </w:p>
    <w:p w14:paraId="02C3D8C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6136523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二、联合体各方的合同金额占比，具体如下：</w:t>
      </w:r>
    </w:p>
    <w:p w14:paraId="66BA74E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1.牵头方（</w:t>
      </w:r>
      <w:r>
        <w:rPr>
          <w:rFonts w:asciiTheme="minorEastAsia" w:hAnsiTheme="minorEastAsia" w:cstheme="minorEastAsia"/>
          <w:color w:val="auto"/>
          <w:sz w:val="24"/>
          <w:szCs w:val="24"/>
          <w:highlight w:val="none"/>
          <w:u w:val="single"/>
        </w:rPr>
        <w:t>全称</w:t>
      </w:r>
      <w:r>
        <w:rPr>
          <w:rFonts w:asciiTheme="minorEastAsia" w:hAnsiTheme="minorEastAsia" w:cstheme="minorEastAsia"/>
          <w:color w:val="auto"/>
          <w:sz w:val="24"/>
          <w:szCs w:val="24"/>
          <w:highlight w:val="none"/>
        </w:rPr>
        <w:t>）的合同金额占合同总额的</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w:t>
      </w:r>
    </w:p>
    <w:p w14:paraId="57EAC9D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2.成员方：</w:t>
      </w:r>
    </w:p>
    <w:p w14:paraId="1428151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2.1（</w:t>
      </w:r>
      <w:r>
        <w:rPr>
          <w:rFonts w:asciiTheme="minorEastAsia" w:hAnsiTheme="minorEastAsia" w:cstheme="minorEastAsia"/>
          <w:color w:val="auto"/>
          <w:sz w:val="24"/>
          <w:szCs w:val="24"/>
          <w:highlight w:val="none"/>
          <w:u w:val="single"/>
        </w:rPr>
        <w:t>成员1的全称</w:t>
      </w:r>
      <w:r>
        <w:rPr>
          <w:rFonts w:asciiTheme="minorEastAsia" w:hAnsiTheme="minorEastAsia" w:cstheme="minorEastAsia"/>
          <w:color w:val="auto"/>
          <w:sz w:val="24"/>
          <w:szCs w:val="24"/>
          <w:highlight w:val="none"/>
        </w:rPr>
        <w:t>）的合同金额占合同总额的</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w:t>
      </w:r>
    </w:p>
    <w:p w14:paraId="2F89AC7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11486B7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三、联合体各方约定：</w:t>
      </w:r>
    </w:p>
    <w:p w14:paraId="464EE93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1、由</w:t>
      </w:r>
      <w:r>
        <w:rPr>
          <w:rFonts w:asciiTheme="minorEastAsia" w:hAnsiTheme="minorEastAsia" w:cstheme="minorEastAsia"/>
          <w:color w:val="auto"/>
          <w:sz w:val="24"/>
          <w:szCs w:val="24"/>
          <w:highlight w:val="none"/>
          <w:u w:val="single"/>
        </w:rPr>
        <w:t>（填写“牵头方的全称”）代表联合体办理参加本项目投标的有关事宜（包括但不限于：注册账号、派出投标人代表、提交</w:t>
      </w:r>
      <w:r>
        <w:rPr>
          <w:rFonts w:asciiTheme="minorEastAsia" w:hAnsiTheme="minorEastAsia" w:cstheme="minorEastAsia"/>
          <w:color w:val="auto"/>
          <w:sz w:val="24"/>
          <w:szCs w:val="24"/>
          <w:highlight w:val="none"/>
          <w:u w:val="single"/>
          <w:lang w:eastAsia="zh-CN"/>
        </w:rPr>
        <w:t>投标文件</w:t>
      </w:r>
      <w:r>
        <w:rPr>
          <w:rFonts w:asciiTheme="minorEastAsia" w:hAnsiTheme="minorEastAsia" w:cstheme="minorEastAsia"/>
          <w:color w:val="auto"/>
          <w:sz w:val="24"/>
          <w:szCs w:val="24"/>
          <w:highlight w:val="none"/>
          <w:u w:val="single"/>
        </w:rPr>
        <w:t>及参加开标、谈判、澄清等），在此过程中，投标人代表签字的一切文件和处理结果，联合体均予以认可并对此承担责任。</w:t>
      </w:r>
    </w:p>
    <w:p w14:paraId="62A8AC2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2、联合体各方约定由</w:t>
      </w:r>
      <w:r>
        <w:rPr>
          <w:rFonts w:asciiTheme="minorEastAsia" w:hAnsiTheme="minorEastAsia" w:cstheme="minorEastAsia"/>
          <w:color w:val="auto"/>
          <w:sz w:val="24"/>
          <w:szCs w:val="24"/>
          <w:highlight w:val="none"/>
          <w:u w:val="single"/>
        </w:rPr>
        <w:t>（填写“牵头方的全称”）代表联合体办理投标保证金事宜。</w:t>
      </w:r>
    </w:p>
    <w:p w14:paraId="41B564B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14:paraId="0854CA8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四、若中标，牵头方将代表联合体与采购人就合同签订事宜进行协商；若协商一致，则联合体各方将共同与采购人签订政府采购合同，并就政府采购合同约定的事项对采购人承担连带责任。</w:t>
      </w:r>
    </w:p>
    <w:p w14:paraId="429FB63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五、本协议自签署之日起生效，政府采购合同履行完毕后自动失效。</w:t>
      </w:r>
    </w:p>
    <w:p w14:paraId="5FCC58C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六、本协议一式</w:t>
      </w:r>
      <w:r>
        <w:rPr>
          <w:rFonts w:asciiTheme="minorEastAsia" w:hAnsiTheme="minorEastAsia" w:cstheme="minorEastAsia"/>
          <w:color w:val="auto"/>
          <w:sz w:val="24"/>
          <w:szCs w:val="24"/>
          <w:highlight w:val="none"/>
          <w:u w:val="single"/>
        </w:rPr>
        <w:t>（填写具体份数）</w:t>
      </w:r>
      <w:r>
        <w:rPr>
          <w:rFonts w:asciiTheme="minorEastAsia" w:hAnsiTheme="minorEastAsia" w:cstheme="minorEastAsia"/>
          <w:color w:val="auto"/>
          <w:sz w:val="24"/>
          <w:szCs w:val="24"/>
          <w:highlight w:val="none"/>
        </w:rPr>
        <w:t>份，联合体各方各执一份，</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中提交一份。</w:t>
      </w:r>
    </w:p>
    <w:p w14:paraId="0487CBE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（以下无正文）</w:t>
      </w:r>
    </w:p>
    <w:p w14:paraId="65DB7CA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牵头方：</w:t>
      </w:r>
      <w:r>
        <w:rPr>
          <w:rFonts w:asciiTheme="minorEastAsia" w:hAnsiTheme="minorEastAsia" w:cstheme="minorEastAsia"/>
          <w:color w:val="auto"/>
          <w:sz w:val="24"/>
          <w:szCs w:val="24"/>
          <w:highlight w:val="none"/>
          <w:u w:val="single"/>
        </w:rPr>
        <w:t>（全称并加盖单位公章）</w:t>
      </w:r>
    </w:p>
    <w:p w14:paraId="065C4D8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法定代表人或其委托代理人：</w:t>
      </w:r>
      <w:r>
        <w:rPr>
          <w:rFonts w:asciiTheme="minorEastAsia" w:hAnsiTheme="minorEastAsia" w:cstheme="minorEastAsia"/>
          <w:color w:val="auto"/>
          <w:sz w:val="24"/>
          <w:szCs w:val="24"/>
          <w:highlight w:val="none"/>
          <w:u w:val="single"/>
        </w:rPr>
        <w:t>（签字或盖章）</w:t>
      </w:r>
    </w:p>
    <w:p w14:paraId="2904EB2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成员一：</w:t>
      </w:r>
      <w:r>
        <w:rPr>
          <w:rFonts w:asciiTheme="minorEastAsia" w:hAnsiTheme="minorEastAsia" w:cstheme="minorEastAsia"/>
          <w:color w:val="auto"/>
          <w:sz w:val="24"/>
          <w:szCs w:val="24"/>
          <w:highlight w:val="none"/>
          <w:u w:val="single"/>
        </w:rPr>
        <w:t>（全称并加盖成员一的单位公章）</w:t>
      </w:r>
    </w:p>
    <w:p w14:paraId="6045B6E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法定代表人或其委托代理人：</w:t>
      </w:r>
      <w:r>
        <w:rPr>
          <w:rFonts w:asciiTheme="minorEastAsia" w:hAnsiTheme="minorEastAsia" w:cstheme="minorEastAsia"/>
          <w:color w:val="auto"/>
          <w:sz w:val="24"/>
          <w:szCs w:val="24"/>
          <w:highlight w:val="none"/>
          <w:u w:val="single"/>
        </w:rPr>
        <w:t>（签字或盖章）</w:t>
      </w:r>
    </w:p>
    <w:p w14:paraId="5AAFF42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6B5F9B2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成员**：</w:t>
      </w:r>
      <w:r>
        <w:rPr>
          <w:rFonts w:asciiTheme="minorEastAsia" w:hAnsiTheme="minorEastAsia" w:cstheme="minorEastAsia"/>
          <w:color w:val="auto"/>
          <w:sz w:val="24"/>
          <w:szCs w:val="24"/>
          <w:highlight w:val="none"/>
          <w:u w:val="single"/>
        </w:rPr>
        <w:t>（全称并加盖成员**的单位公章）</w:t>
      </w:r>
    </w:p>
    <w:p w14:paraId="7BD2FC4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法定代表人或其委托代理人：</w:t>
      </w:r>
      <w:r>
        <w:rPr>
          <w:rFonts w:asciiTheme="minorEastAsia" w:hAnsiTheme="minorEastAsia" w:cstheme="minorEastAsia"/>
          <w:color w:val="auto"/>
          <w:sz w:val="24"/>
          <w:szCs w:val="24"/>
          <w:highlight w:val="none"/>
          <w:u w:val="single"/>
        </w:rPr>
        <w:t>（签字或盖章）</w:t>
      </w:r>
    </w:p>
    <w:p w14:paraId="7A09761E">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签署日期：</w:t>
      </w:r>
      <w:r>
        <w:rPr>
          <w:rFonts w:asciiTheme="minorEastAsia" w:hAnsiTheme="minorEastAsia" w:cstheme="minorEastAsia"/>
          <w:color w:val="auto"/>
          <w:sz w:val="24"/>
          <w:szCs w:val="24"/>
          <w:highlight w:val="none"/>
          <w:u w:val="single"/>
        </w:rPr>
        <w:t>　　年　　月　　日</w:t>
      </w:r>
    </w:p>
    <w:p w14:paraId="315D955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58A526E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1、招标文件接受联合体投标且投标人为联合体的，投标人应提供本协议；否则无须提供。</w:t>
      </w:r>
    </w:p>
    <w:p w14:paraId="368BC26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2、本协议由委托代理人签字或盖章的，应按照本章载明的格式提供“单位授权书”。</w:t>
      </w:r>
    </w:p>
    <w:p w14:paraId="7504DF7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3、在以联合体形式落实中小企业预留份额项目中，投标人除了要提供《中小企业声明函》，还需提供本协议。</w:t>
      </w:r>
    </w:p>
    <w:p w14:paraId="2C4C4330">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273BD315">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46A31F1">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二-11分包意向协议（若有）</w:t>
      </w:r>
    </w:p>
    <w:p w14:paraId="292AAC4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甲方（总包方）：</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（即本项目的投标人）</w:t>
      </w:r>
    </w:p>
    <w:p w14:paraId="4A89866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乙方（分包方）：</w:t>
      </w:r>
      <w:r>
        <w:rPr>
          <w:rFonts w:asciiTheme="minorEastAsia" w:hAnsiTheme="minorEastAsia" w:cstheme="minorEastAsia"/>
          <w:color w:val="auto"/>
          <w:sz w:val="24"/>
          <w:szCs w:val="24"/>
          <w:highlight w:val="none"/>
          <w:u w:val="single"/>
        </w:rPr>
        <w:t>　　　　　　　</w:t>
      </w:r>
    </w:p>
    <w:p w14:paraId="0829DC6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兹有甲方参加</w:t>
      </w:r>
      <w:r>
        <w:rPr>
          <w:rFonts w:asciiTheme="minorEastAsia" w:hAnsiTheme="minorEastAsia" w:cstheme="minorEastAsia"/>
          <w:color w:val="auto"/>
          <w:sz w:val="24"/>
          <w:szCs w:val="24"/>
          <w:highlight w:val="none"/>
          <w:u w:val="single"/>
        </w:rPr>
        <w:t>（填写“项目名称”）</w:t>
      </w:r>
      <w:r>
        <w:rPr>
          <w:rFonts w:asciiTheme="minorEastAsia" w:hAnsiTheme="minorEastAsia" w:cstheme="minorEastAsia"/>
          <w:color w:val="auto"/>
          <w:sz w:val="24"/>
          <w:szCs w:val="24"/>
          <w:highlight w:val="none"/>
        </w:rPr>
        <w:t>项目（项目编号：</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）的政府采购活动。甲方期望将采购项目的部分采购标的分包给乙方完成，而乙方保证能够向甲方提供本协议项下的采购标的，甲、乙双方就合同分包的有关事宜达成下列协议：</w:t>
      </w:r>
    </w:p>
    <w:p w14:paraId="4F47F71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一、分包标的</w:t>
      </w:r>
    </w:p>
    <w:p w14:paraId="483467A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u w:val="single"/>
        </w:rPr>
        <w:t>（根据双方的意向填写，可以是表格或文字描述）。</w:t>
      </w:r>
    </w:p>
    <w:p w14:paraId="57AE848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二、分包合同金额占比</w:t>
      </w:r>
    </w:p>
    <w:p w14:paraId="06DA407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分包合同价占投标总价的比例：</w:t>
      </w:r>
      <w:r>
        <w:rPr>
          <w:rFonts w:asciiTheme="minorEastAsia" w:hAnsiTheme="minorEastAsia" w:cstheme="minorEastAsia"/>
          <w:color w:val="auto"/>
          <w:sz w:val="24"/>
          <w:szCs w:val="24"/>
          <w:highlight w:val="none"/>
          <w:u w:val="single"/>
        </w:rPr>
        <w:t>　　　　　</w:t>
      </w:r>
      <w:r>
        <w:rPr>
          <w:rFonts w:asciiTheme="minorEastAsia" w:hAnsiTheme="minorEastAsia" w:cstheme="minorEastAsia"/>
          <w:color w:val="auto"/>
          <w:sz w:val="24"/>
          <w:szCs w:val="24"/>
          <w:highlight w:val="none"/>
        </w:rPr>
        <w:t>%</w:t>
      </w:r>
    </w:p>
    <w:p w14:paraId="7AD8EFB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三、其他条款</w:t>
      </w:r>
    </w:p>
    <w:p w14:paraId="4665F2C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697331D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1A4007A">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甲方：</w:t>
            </w:r>
          </w:p>
        </w:tc>
        <w:tc>
          <w:tcPr>
            <w:tcW w:w="4153" w:type="dxa"/>
          </w:tcPr>
          <w:p w14:paraId="5E398262">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乙方：</w:t>
            </w:r>
          </w:p>
        </w:tc>
      </w:tr>
      <w:tr w14:paraId="56992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5BDE48D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住所：</w:t>
            </w:r>
          </w:p>
        </w:tc>
        <w:tc>
          <w:tcPr>
            <w:tcW w:w="4153" w:type="dxa"/>
          </w:tcPr>
          <w:p w14:paraId="18192C15">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住所：</w:t>
            </w:r>
          </w:p>
        </w:tc>
      </w:tr>
      <w:tr w14:paraId="13FD1E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B9D95F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单位负责人或委托代理人：</w:t>
            </w:r>
          </w:p>
        </w:tc>
        <w:tc>
          <w:tcPr>
            <w:tcW w:w="4153" w:type="dxa"/>
          </w:tcPr>
          <w:p w14:paraId="79098090">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单位负责人或委托代理人：</w:t>
            </w:r>
          </w:p>
        </w:tc>
      </w:tr>
      <w:tr w14:paraId="6656C66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883A7A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联系方法：</w:t>
            </w:r>
          </w:p>
        </w:tc>
        <w:tc>
          <w:tcPr>
            <w:tcW w:w="4153" w:type="dxa"/>
          </w:tcPr>
          <w:p w14:paraId="52D5AC99">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联系方法：</w:t>
            </w:r>
          </w:p>
        </w:tc>
      </w:tr>
      <w:tr w14:paraId="7479A27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E1DED1A">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开户银行：</w:t>
            </w:r>
          </w:p>
        </w:tc>
        <w:tc>
          <w:tcPr>
            <w:tcW w:w="4153" w:type="dxa"/>
          </w:tcPr>
          <w:p w14:paraId="4085BA0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开户银行：</w:t>
            </w:r>
          </w:p>
        </w:tc>
      </w:tr>
      <w:tr w14:paraId="6DC9337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59EDDA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账号：</w:t>
            </w:r>
          </w:p>
        </w:tc>
        <w:tc>
          <w:tcPr>
            <w:tcW w:w="4153" w:type="dxa"/>
          </w:tcPr>
          <w:p w14:paraId="646E5E1B">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账号：</w:t>
            </w:r>
          </w:p>
        </w:tc>
      </w:tr>
      <w:tr w14:paraId="3E1912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14:paraId="51BC45D5">
            <w:pPr>
              <w:pStyle w:val="24"/>
              <w:keepNext w:val="0"/>
              <w:keepLines w:val="0"/>
              <w:widowControl/>
              <w:suppressLineNumbers w:val="0"/>
              <w:spacing w:before="0" w:beforeAutospacing="0" w:after="0" w:afterAutospacing="0" w:line="480" w:lineRule="exact"/>
              <w:ind w:left="0" w:right="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签订地点：</w:t>
            </w:r>
            <w:r>
              <w:rPr>
                <w:rFonts w:asciiTheme="minorEastAsia" w:hAnsiTheme="minorEastAsia" w:cstheme="minorEastAsia"/>
                <w:color w:val="auto"/>
                <w:sz w:val="24"/>
                <w:szCs w:val="24"/>
                <w:highlight w:val="none"/>
                <w:u w:val="single"/>
              </w:rPr>
              <w:t>　　　　　　　　　　</w:t>
            </w:r>
          </w:p>
          <w:p w14:paraId="1E8B9E46">
            <w:pPr>
              <w:pStyle w:val="24"/>
              <w:keepNext w:val="0"/>
              <w:keepLines w:val="0"/>
              <w:widowControl/>
              <w:suppressLineNumbers w:val="0"/>
              <w:spacing w:before="0" w:beforeAutospacing="0" w:after="0" w:afterAutospacing="0" w:line="480" w:lineRule="exact"/>
              <w:ind w:left="0" w:right="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签约日期：</w:t>
            </w:r>
            <w:r>
              <w:rPr>
                <w:rFonts w:asciiTheme="minorEastAsia" w:hAnsiTheme="minorEastAsia" w:cstheme="minorEastAsia"/>
                <w:color w:val="auto"/>
                <w:sz w:val="24"/>
                <w:szCs w:val="24"/>
                <w:highlight w:val="none"/>
                <w:u w:val="single"/>
              </w:rPr>
              <w:t>　　年　　月　　日</w:t>
            </w:r>
          </w:p>
        </w:tc>
      </w:tr>
    </w:tbl>
    <w:p w14:paraId="08D785C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66B0E05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1.招标文件接受合同分包且投标人拟将合同分包的，应提供本协议；否则无须提供。</w:t>
      </w:r>
    </w:p>
    <w:p w14:paraId="76C869A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2.本协议由委托代理人签字或盖章的，应按照本章载明的格式提供“单位授权书”。</w:t>
      </w:r>
    </w:p>
    <w:p w14:paraId="1E993A8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3.在以合同分包形式落实中小企业预留份额项目中，投标人除了要提供《中小企业声明函》，还需提供本协议。</w:t>
      </w:r>
    </w:p>
    <w:p w14:paraId="7EFFC2CC">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6F87AD4B">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9B32DF7">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二-12其他资格证明文件（若有）</w:t>
      </w:r>
    </w:p>
    <w:p w14:paraId="4EA6302F">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二-12-①具备履行合同所必需设备和专业技术能力专项证明材料（若有）</w:t>
      </w:r>
    </w:p>
    <w:p w14:paraId="0A73EF6A">
      <w:pPr>
        <w:pStyle w:val="24"/>
        <w:spacing w:line="480" w:lineRule="exact"/>
        <w:ind w:firstLine="48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rPr>
        <w:t>致：</w:t>
      </w:r>
      <w:r>
        <w:rPr>
          <w:rFonts w:hint="eastAsia" w:asciiTheme="minorEastAsia" w:hAnsiTheme="minorEastAsia" w:cstheme="minorEastAsia"/>
          <w:color w:val="auto"/>
          <w:sz w:val="24"/>
          <w:szCs w:val="24"/>
          <w:highlight w:val="none"/>
          <w:u w:val="single"/>
          <w:lang w:eastAsia="zh-CN"/>
        </w:rPr>
        <w:t>福建省鸿远招标有限公司</w:t>
      </w:r>
    </w:p>
    <w:p w14:paraId="54F40E2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现附上我方具备履行合同所必需的设备和专业技术能力的专项证明材料复印件（具体附后），上述证明材料真实有效，否则我方负全部责任。</w:t>
      </w:r>
    </w:p>
    <w:p w14:paraId="3ADF753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4A0B47A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1、招标文件要求投标人提供“具备履行合同所必需的设备和专业技术能力专项证明材料”的，投标人应按照招标文件规定在此项下提供相应证明材料复印件。</w:t>
      </w:r>
    </w:p>
    <w:p w14:paraId="78F010A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2、投标人提供的相应证明材料复印件均应符合：内容完整、清晰、整洁，并由投标人加盖其单位公章。</w:t>
      </w:r>
    </w:p>
    <w:p w14:paraId="0FE4E1B7">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w:t>
      </w:r>
      <w:r>
        <w:rPr>
          <w:rFonts w:asciiTheme="minorEastAsia" w:hAnsiTheme="minorEastAsia" w:cstheme="minorEastAsia"/>
          <w:color w:val="auto"/>
          <w:sz w:val="24"/>
          <w:szCs w:val="24"/>
          <w:highlight w:val="none"/>
          <w:u w:val="single"/>
        </w:rPr>
        <w:t>（全称并加盖单位公章）</w:t>
      </w:r>
    </w:p>
    <w:p w14:paraId="0690036C">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w:t>
      </w:r>
      <w:r>
        <w:rPr>
          <w:rFonts w:asciiTheme="minorEastAsia" w:hAnsiTheme="minorEastAsia" w:cstheme="minorEastAsia"/>
          <w:color w:val="auto"/>
          <w:sz w:val="24"/>
          <w:szCs w:val="24"/>
          <w:highlight w:val="none"/>
          <w:u w:val="single"/>
        </w:rPr>
        <w:t>　　年　　月　　日</w:t>
      </w:r>
    </w:p>
    <w:p w14:paraId="1E8F195B">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4D42FB62">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2A9FDA2">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二-12-②招标文件规定的其他资格证明文件（若有）</w:t>
      </w:r>
    </w:p>
    <w:p w14:paraId="3B48EF11">
      <w:pPr>
        <w:pStyle w:val="24"/>
        <w:spacing w:line="480" w:lineRule="exact"/>
        <w:ind w:firstLine="480"/>
        <w:jc w:val="center"/>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编制说明</w:t>
      </w:r>
    </w:p>
    <w:p w14:paraId="482A691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除招标文件另有规定外，招标文件要求提交的除前述资格证明文件外的其他资格证明文件（若有）加盖投标人的单位公章后应在此项下提交。</w:t>
      </w:r>
    </w:p>
    <w:p w14:paraId="23B63398">
      <w:pPr>
        <w:pStyle w:val="24"/>
        <w:rPr>
          <w:rFonts w:hint="default" w:asciiTheme="minorEastAsia" w:hAnsiTheme="minorEastAsia" w:cstheme="minorEastAsia"/>
          <w:color w:val="auto"/>
          <w:highlight w:val="none"/>
        </w:rPr>
      </w:pPr>
    </w:p>
    <w:p w14:paraId="02B06FB5">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69959675">
      <w:pPr>
        <w:pStyle w:val="24"/>
        <w:jc w:val="center"/>
        <w:rPr>
          <w:rFonts w:hint="default" w:asciiTheme="minorEastAsia" w:hAnsiTheme="minorEastAsia" w:cstheme="minorEastAsia"/>
          <w:color w:val="auto"/>
          <w:highlight w:val="none"/>
          <w:lang w:eastAsia="zh-CN"/>
        </w:rPr>
      </w:pPr>
      <w:r>
        <w:rPr>
          <w:rFonts w:asciiTheme="minorEastAsia" w:hAnsiTheme="minorEastAsia" w:cstheme="minorEastAsia"/>
          <w:b/>
          <w:color w:val="auto"/>
          <w:sz w:val="28"/>
          <w:highlight w:val="none"/>
        </w:rPr>
        <w:t>三、投标保证金</w:t>
      </w:r>
      <w:r>
        <w:rPr>
          <w:rFonts w:asciiTheme="minorEastAsia" w:hAnsiTheme="minorEastAsia" w:cstheme="minorEastAsia"/>
          <w:b/>
          <w:color w:val="auto"/>
          <w:sz w:val="28"/>
          <w:highlight w:val="none"/>
          <w:lang w:eastAsia="zh-CN"/>
        </w:rPr>
        <w:t>凭证复印件</w:t>
      </w:r>
    </w:p>
    <w:p w14:paraId="457D713A">
      <w:pPr>
        <w:pStyle w:val="24"/>
        <w:rPr>
          <w:rFonts w:hint="default" w:asciiTheme="minorEastAsia" w:hAnsiTheme="minorEastAsia" w:cstheme="minorEastAsia"/>
          <w:color w:val="auto"/>
          <w:highlight w:val="none"/>
        </w:rPr>
      </w:pPr>
    </w:p>
    <w:p w14:paraId="3D9A2D8A">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50D97EEC">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1709DE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封面格式(报价部分)</w:t>
      </w:r>
    </w:p>
    <w:p w14:paraId="0D9AD11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48"/>
          <w:highlight w:val="none"/>
        </w:rPr>
        <w:t>福建省政府采购投标文件</w:t>
      </w:r>
    </w:p>
    <w:p w14:paraId="25782149">
      <w:pPr>
        <w:pStyle w:val="24"/>
        <w:jc w:val="center"/>
        <w:rPr>
          <w:rFonts w:hint="default" w:asciiTheme="minorEastAsia" w:hAnsiTheme="minorEastAsia" w:cstheme="minorEastAsia"/>
          <w:b/>
          <w:color w:val="auto"/>
          <w:sz w:val="48"/>
          <w:highlight w:val="none"/>
          <w:lang w:eastAsia="zh-CN"/>
        </w:rPr>
      </w:pPr>
      <w:r>
        <w:rPr>
          <w:rFonts w:asciiTheme="minorEastAsia" w:hAnsiTheme="minorEastAsia" w:cstheme="minorEastAsia"/>
          <w:b/>
          <w:color w:val="auto"/>
          <w:sz w:val="48"/>
          <w:highlight w:val="none"/>
        </w:rPr>
        <w:t>（报价部分）</w:t>
      </w:r>
    </w:p>
    <w:p w14:paraId="28987BB0">
      <w:pPr>
        <w:pStyle w:val="24"/>
        <w:jc w:val="center"/>
        <w:rPr>
          <w:rFonts w:hint="default" w:asciiTheme="minorEastAsia" w:hAnsiTheme="minorEastAsia" w:cstheme="minorEastAsia"/>
          <w:b/>
          <w:color w:val="auto"/>
          <w:sz w:val="48"/>
          <w:highlight w:val="none"/>
          <w:lang w:eastAsia="zh-CN"/>
        </w:rPr>
      </w:pPr>
    </w:p>
    <w:p w14:paraId="7F5430F3">
      <w:pPr>
        <w:pStyle w:val="24"/>
        <w:jc w:val="center"/>
        <w:rPr>
          <w:rFonts w:hint="default" w:asciiTheme="minorEastAsia" w:hAnsiTheme="minorEastAsia" w:cstheme="minorEastAsia"/>
          <w:color w:val="auto"/>
          <w:highlight w:val="none"/>
          <w:lang w:eastAsia="zh-CN"/>
        </w:rPr>
      </w:pPr>
    </w:p>
    <w:p w14:paraId="08D22DA8">
      <w:pPr>
        <w:pStyle w:val="24"/>
        <w:jc w:val="center"/>
        <w:rPr>
          <w:rFonts w:hint="default" w:asciiTheme="minorEastAsia" w:hAnsiTheme="minorEastAsia" w:cstheme="minorEastAsia"/>
          <w:color w:val="auto"/>
          <w:highlight w:val="none"/>
          <w:lang w:eastAsia="zh-CN"/>
        </w:rPr>
      </w:pPr>
    </w:p>
    <w:p w14:paraId="146C406C">
      <w:pPr>
        <w:pStyle w:val="24"/>
        <w:jc w:val="center"/>
        <w:rPr>
          <w:rFonts w:hint="default" w:asciiTheme="minorEastAsia" w:hAnsiTheme="minorEastAsia" w:cstheme="minorEastAsia"/>
          <w:b/>
          <w:color w:val="auto"/>
          <w:sz w:val="36"/>
          <w:highlight w:val="none"/>
          <w:lang w:eastAsia="zh-CN"/>
        </w:rPr>
      </w:pPr>
      <w:r>
        <w:rPr>
          <w:rFonts w:asciiTheme="minorEastAsia" w:hAnsiTheme="minorEastAsia" w:cstheme="minorEastAsia"/>
          <w:b/>
          <w:color w:val="auto"/>
          <w:sz w:val="36"/>
          <w:highlight w:val="none"/>
        </w:rPr>
        <w:t>（填写正本或副本）</w:t>
      </w:r>
    </w:p>
    <w:p w14:paraId="3AB339A9">
      <w:pPr>
        <w:pStyle w:val="24"/>
        <w:jc w:val="center"/>
        <w:rPr>
          <w:rFonts w:hint="default" w:asciiTheme="minorEastAsia" w:hAnsiTheme="minorEastAsia" w:cstheme="minorEastAsia"/>
          <w:b/>
          <w:color w:val="auto"/>
          <w:sz w:val="36"/>
          <w:highlight w:val="none"/>
          <w:lang w:eastAsia="zh-CN"/>
        </w:rPr>
      </w:pPr>
    </w:p>
    <w:p w14:paraId="3D23EB02">
      <w:pPr>
        <w:pStyle w:val="24"/>
        <w:jc w:val="center"/>
        <w:rPr>
          <w:rFonts w:hint="default" w:asciiTheme="minorEastAsia" w:hAnsiTheme="minorEastAsia" w:cstheme="minorEastAsia"/>
          <w:color w:val="auto"/>
          <w:highlight w:val="none"/>
          <w:lang w:eastAsia="zh-CN"/>
        </w:rPr>
      </w:pPr>
    </w:p>
    <w:p w14:paraId="27062BEE">
      <w:pPr>
        <w:pStyle w:val="24"/>
        <w:jc w:val="center"/>
        <w:rPr>
          <w:rFonts w:hint="default" w:asciiTheme="minorEastAsia" w:hAnsiTheme="minorEastAsia" w:cstheme="minorEastAsia"/>
          <w:color w:val="auto"/>
          <w:highlight w:val="none"/>
          <w:lang w:eastAsia="zh-CN"/>
        </w:rPr>
      </w:pPr>
    </w:p>
    <w:p w14:paraId="0723FD44">
      <w:pPr>
        <w:pStyle w:val="24"/>
        <w:jc w:val="center"/>
        <w:rPr>
          <w:rFonts w:hint="default" w:asciiTheme="minorEastAsia" w:hAnsiTheme="minorEastAsia" w:cstheme="minorEastAsia"/>
          <w:color w:val="auto"/>
          <w:highlight w:val="none"/>
          <w:lang w:eastAsia="zh-CN"/>
        </w:rPr>
      </w:pPr>
    </w:p>
    <w:p w14:paraId="7DDC6A64">
      <w:pPr>
        <w:pStyle w:val="24"/>
        <w:jc w:val="center"/>
        <w:rPr>
          <w:rFonts w:hint="default" w:asciiTheme="minorEastAsia" w:hAnsiTheme="minorEastAsia" w:cstheme="minorEastAsia"/>
          <w:color w:val="auto"/>
          <w:highlight w:val="none"/>
          <w:lang w:eastAsia="zh-CN"/>
        </w:rPr>
      </w:pPr>
    </w:p>
    <w:p w14:paraId="5CC4BD4A">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（项目名称：（由投标人填写）</w:t>
      </w:r>
    </w:p>
    <w:p w14:paraId="3695AF25">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（备案编号：（由投标人填写）</w:t>
      </w:r>
    </w:p>
    <w:p w14:paraId="4C84A21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（项目编号：（由投标人填写）</w:t>
      </w:r>
    </w:p>
    <w:p w14:paraId="32F79A82">
      <w:pPr>
        <w:pStyle w:val="24"/>
        <w:jc w:val="center"/>
        <w:rPr>
          <w:rFonts w:hint="default" w:asciiTheme="minorEastAsia" w:hAnsiTheme="minorEastAsia" w:cstheme="minorEastAsia"/>
          <w:b/>
          <w:color w:val="auto"/>
          <w:sz w:val="28"/>
          <w:highlight w:val="none"/>
          <w:lang w:eastAsia="zh-CN"/>
        </w:rPr>
      </w:pPr>
      <w:r>
        <w:rPr>
          <w:rFonts w:asciiTheme="minorEastAsia" w:hAnsiTheme="minorEastAsia" w:cstheme="minorEastAsia"/>
          <w:b/>
          <w:color w:val="auto"/>
          <w:sz w:val="28"/>
          <w:highlight w:val="none"/>
        </w:rPr>
        <w:t>（所投</w:t>
      </w:r>
      <w:r>
        <w:rPr>
          <w:rFonts w:hint="eastAsia" w:asciiTheme="minorEastAsia" w:hAnsiTheme="minorEastAsia" w:cstheme="minorEastAsia"/>
          <w:b/>
          <w:color w:val="auto"/>
          <w:sz w:val="28"/>
          <w:highlight w:val="none"/>
          <w:lang w:eastAsia="zh-CN"/>
        </w:rPr>
        <w:t>采购包</w:t>
      </w:r>
      <w:r>
        <w:rPr>
          <w:rFonts w:asciiTheme="minorEastAsia" w:hAnsiTheme="minorEastAsia" w:cstheme="minorEastAsia"/>
          <w:b/>
          <w:color w:val="auto"/>
          <w:sz w:val="28"/>
          <w:highlight w:val="none"/>
        </w:rPr>
        <w:t>：（由投标人填写）</w:t>
      </w:r>
    </w:p>
    <w:p w14:paraId="3A7FEC03">
      <w:pPr>
        <w:pStyle w:val="24"/>
        <w:jc w:val="center"/>
        <w:rPr>
          <w:rFonts w:hint="default" w:asciiTheme="minorEastAsia" w:hAnsiTheme="minorEastAsia" w:cstheme="minorEastAsia"/>
          <w:b/>
          <w:color w:val="auto"/>
          <w:sz w:val="28"/>
          <w:highlight w:val="none"/>
          <w:lang w:eastAsia="zh-CN"/>
        </w:rPr>
      </w:pPr>
    </w:p>
    <w:p w14:paraId="54ABE3E4">
      <w:pPr>
        <w:pStyle w:val="24"/>
        <w:jc w:val="center"/>
        <w:rPr>
          <w:rFonts w:hint="default" w:asciiTheme="minorEastAsia" w:hAnsiTheme="minorEastAsia" w:cstheme="minorEastAsia"/>
          <w:color w:val="auto"/>
          <w:highlight w:val="none"/>
          <w:lang w:eastAsia="zh-CN"/>
        </w:rPr>
      </w:pPr>
    </w:p>
    <w:p w14:paraId="3C544164">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投标人：（填写“全称”）</w:t>
      </w:r>
    </w:p>
    <w:p w14:paraId="739DD11B">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（由投标人填写）年（由投标人填写）月</w:t>
      </w:r>
    </w:p>
    <w:p w14:paraId="4138B730">
      <w:pPr>
        <w:pStyle w:val="24"/>
        <w:rPr>
          <w:rFonts w:hint="default" w:asciiTheme="minorEastAsia" w:hAnsiTheme="minorEastAsia" w:cstheme="minorEastAsia"/>
          <w:color w:val="auto"/>
          <w:highlight w:val="none"/>
        </w:rPr>
      </w:pPr>
    </w:p>
    <w:p w14:paraId="2C0257CD">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8B5690F">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EE718A1">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索引</w:t>
      </w:r>
    </w:p>
    <w:p w14:paraId="62494514">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一、开标一览表</w:t>
      </w:r>
    </w:p>
    <w:p w14:paraId="19A224D5">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二、投标分项报价表</w:t>
      </w:r>
    </w:p>
    <w:p w14:paraId="7C9F47DC">
      <w:pPr>
        <w:pStyle w:val="24"/>
        <w:spacing w:line="480" w:lineRule="exact"/>
        <w:ind w:firstLine="482"/>
        <w:rPr>
          <w:rFonts w:hint="default" w:asciiTheme="minorEastAsia" w:hAnsiTheme="minorEastAsia" w:cstheme="minorEastAsia"/>
          <w:color w:val="auto"/>
          <w:highlight w:val="none"/>
        </w:rPr>
      </w:pPr>
      <w:r>
        <w:rPr>
          <w:rFonts w:asciiTheme="minorEastAsia" w:hAnsiTheme="minorEastAsia" w:cstheme="minorEastAsia"/>
          <w:color w:val="auto"/>
          <w:sz w:val="24"/>
          <w:szCs w:val="24"/>
          <w:highlight w:val="none"/>
        </w:rPr>
        <w:t>三、招标文件规定的价格扣除证明材料（若有）</w:t>
      </w:r>
    </w:p>
    <w:p w14:paraId="0AA11AEC">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71CADAB0">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5C9D4006">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一、开标一览表</w:t>
      </w:r>
    </w:p>
    <w:p w14:paraId="2C58E3A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p w14:paraId="3EEAF25E">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货币及单位：人民币元</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14:paraId="478A6B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F10112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2076" w:type="dxa"/>
          </w:tcPr>
          <w:p w14:paraId="0085730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投标报价</w:t>
            </w:r>
          </w:p>
        </w:tc>
        <w:tc>
          <w:tcPr>
            <w:tcW w:w="2076" w:type="dxa"/>
          </w:tcPr>
          <w:p w14:paraId="63B34CB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投标保证金</w:t>
            </w:r>
          </w:p>
        </w:tc>
        <w:tc>
          <w:tcPr>
            <w:tcW w:w="2076" w:type="dxa"/>
          </w:tcPr>
          <w:p w14:paraId="4DC60C6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tc>
      </w:tr>
      <w:tr w14:paraId="4E1FCE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0F67AB2">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asciiTheme="minorEastAsia" w:hAnsiTheme="minorEastAsia" w:cstheme="minorEastAsia"/>
                <w:color w:val="auto"/>
                <w:sz w:val="24"/>
                <w:szCs w:val="24"/>
                <w:highlight w:val="none"/>
                <w:lang w:eastAsia="zh-CN"/>
              </w:rPr>
              <w:t>1</w:t>
            </w:r>
          </w:p>
        </w:tc>
        <w:tc>
          <w:tcPr>
            <w:tcW w:w="2076" w:type="dxa"/>
          </w:tcPr>
          <w:p w14:paraId="41F8BD9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投标总价（大写金额）：　　　　　　　　</w:t>
            </w:r>
          </w:p>
        </w:tc>
        <w:tc>
          <w:tcPr>
            <w:tcW w:w="2076" w:type="dxa"/>
          </w:tcPr>
          <w:p w14:paraId="7FC4F00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2076" w:type="dxa"/>
          </w:tcPr>
          <w:p w14:paraId="0F338590">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a.</w:t>
            </w:r>
            <w:r>
              <w:rPr>
                <w:rFonts w:hint="eastAsia" w:asciiTheme="minorEastAsia" w:hAnsiTheme="minorEastAsia" w:cstheme="minorEastAsia"/>
                <w:color w:val="auto"/>
                <w:sz w:val="24"/>
                <w:szCs w:val="24"/>
                <w:highlight w:val="none"/>
                <w:lang w:eastAsia="zh-CN"/>
              </w:rPr>
              <w:t>＞</w:t>
            </w:r>
            <w:r>
              <w:rPr>
                <w:rFonts w:asciiTheme="minorEastAsia" w:hAnsiTheme="minorEastAsia" w:cstheme="minorEastAsia"/>
                <w:color w:val="auto"/>
                <w:sz w:val="24"/>
                <w:szCs w:val="24"/>
                <w:highlight w:val="none"/>
              </w:rPr>
              <w:t>投标报价的明细：详见《投标分项报价表》。</w:t>
            </w:r>
          </w:p>
          <w:p w14:paraId="2F6ABB7A">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b.</w:t>
            </w:r>
            <w:r>
              <w:rPr>
                <w:rFonts w:hint="eastAsia" w:asciiTheme="minorEastAsia" w:hAnsiTheme="minorEastAsia" w:cstheme="minorEastAsia"/>
                <w:color w:val="auto"/>
                <w:sz w:val="24"/>
                <w:szCs w:val="24"/>
                <w:highlight w:val="none"/>
                <w:lang w:eastAsia="zh-CN"/>
              </w:rPr>
              <w:t>＞</w:t>
            </w:r>
            <w:r>
              <w:rPr>
                <w:rFonts w:asciiTheme="minorEastAsia" w:hAnsiTheme="minorEastAsia" w:cstheme="minorEastAsia"/>
                <w:color w:val="auto"/>
                <w:sz w:val="24"/>
                <w:szCs w:val="24"/>
                <w:highlight w:val="none"/>
              </w:rPr>
              <w:t>招标文件规定的价格扣除证明材料（若有）：详见报价部分。</w:t>
            </w:r>
          </w:p>
        </w:tc>
      </w:tr>
    </w:tbl>
    <w:p w14:paraId="4FB3F5A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5CAC199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1、本表应按照下列规定填写：</w:t>
      </w:r>
    </w:p>
    <w:p w14:paraId="683E695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1.1投标人应按照本表格式填写所投的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的“投标报价”。</w:t>
      </w:r>
    </w:p>
    <w:p w14:paraId="53973C7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1.2本表中列示的“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”应与《投标分项报价表》中列示的“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”保持一致，即：若本表中列示的“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”为“1”时，《投标分项报价表》中列示的“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”亦应为“1”，以此类推。</w:t>
      </w:r>
    </w:p>
    <w:p w14:paraId="7485514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1.3“大写金额”指“投标报价”应用“壹、贰、叁、肆、伍、陆、柒、捌、玖、拾、佰、仟、万、亿、元、角、分、零”等进行填写。</w:t>
      </w:r>
    </w:p>
    <w:p w14:paraId="587DBD8D">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56C69C1D">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5D8116B1">
      <w:pPr>
        <w:pStyle w:val="24"/>
        <w:rPr>
          <w:rFonts w:hint="default" w:asciiTheme="minorEastAsia" w:hAnsiTheme="minorEastAsia" w:cstheme="minorEastAsia"/>
          <w:color w:val="auto"/>
          <w:highlight w:val="none"/>
        </w:rPr>
      </w:pPr>
    </w:p>
    <w:p w14:paraId="5C65B626">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4BD369E1">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2399F1C">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二、投标分项报价表</w:t>
      </w:r>
    </w:p>
    <w:p w14:paraId="256052C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p w14:paraId="76AD3EC1">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货币及单位：人民币元</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14:paraId="11075D6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14:paraId="479D769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923" w:type="dxa"/>
          </w:tcPr>
          <w:p w14:paraId="1BC653B1">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品目号</w:t>
            </w:r>
          </w:p>
        </w:tc>
        <w:tc>
          <w:tcPr>
            <w:tcW w:w="923" w:type="dxa"/>
          </w:tcPr>
          <w:p w14:paraId="4C49E2A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投标标的</w:t>
            </w:r>
          </w:p>
        </w:tc>
        <w:tc>
          <w:tcPr>
            <w:tcW w:w="923" w:type="dxa"/>
          </w:tcPr>
          <w:p w14:paraId="2089AC9C">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规格</w:t>
            </w:r>
          </w:p>
        </w:tc>
        <w:tc>
          <w:tcPr>
            <w:tcW w:w="923" w:type="dxa"/>
          </w:tcPr>
          <w:p w14:paraId="4467CFB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来源地</w:t>
            </w:r>
          </w:p>
        </w:tc>
        <w:tc>
          <w:tcPr>
            <w:tcW w:w="923" w:type="dxa"/>
          </w:tcPr>
          <w:p w14:paraId="23B3EFE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单价（现场）</w:t>
            </w:r>
          </w:p>
        </w:tc>
        <w:tc>
          <w:tcPr>
            <w:tcW w:w="923" w:type="dxa"/>
          </w:tcPr>
          <w:p w14:paraId="0D62840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数量</w:t>
            </w:r>
          </w:p>
        </w:tc>
        <w:tc>
          <w:tcPr>
            <w:tcW w:w="923" w:type="dxa"/>
          </w:tcPr>
          <w:p w14:paraId="5424B10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总价（现场）</w:t>
            </w:r>
          </w:p>
        </w:tc>
        <w:tc>
          <w:tcPr>
            <w:tcW w:w="923" w:type="dxa"/>
          </w:tcPr>
          <w:p w14:paraId="752FB831">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tc>
      </w:tr>
      <w:tr w14:paraId="65D7A2D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14:paraId="3D0F9CC9">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923" w:type="dxa"/>
          </w:tcPr>
          <w:p w14:paraId="62068CA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p>
        </w:tc>
        <w:tc>
          <w:tcPr>
            <w:tcW w:w="923" w:type="dxa"/>
          </w:tcPr>
          <w:p w14:paraId="075C5539">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433088A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7632A6FF">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7ADA68A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7E3196E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2D6C8B39">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430332F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7904264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14:paraId="49189DF0">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5CB93EC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923" w:type="dxa"/>
          </w:tcPr>
          <w:p w14:paraId="5126BD94">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32CAE20B">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3BB8F4C7">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33113F9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4B745B2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36204B19">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923" w:type="dxa"/>
          </w:tcPr>
          <w:p w14:paraId="75BDE036">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bl>
    <w:p w14:paraId="3337D11F">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※注意：1、本表应按照下列规定填写：</w:t>
      </w:r>
    </w:p>
    <w:p w14:paraId="1DF2A74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1.1投标人应按照本表格式填写所投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的分项报价，其中：“</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”、“品目号”、“投标标的”及“数量”应与招标文件《采购标的一览表》中的有关内容（“</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”、“品目号”、“采购标的”及“数量”）保持一致，“</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”还应与《开标一览表》中列示的“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”保持一致，即：若《开标一览表》中列示的“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”为“1”时，本表中列示的“</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”亦应为“1”，以此类推。</w:t>
      </w:r>
    </w:p>
    <w:p w14:paraId="0C39060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1.2“投标标的”为货物的：“规格”项下应填写货物制造厂商赋予的品牌（属于节能、环保清单产品的货物，填写的品牌名称应与清单载明的品牌名称保持一致）及具体型号。“来源地”应填写货物的原产地。</w:t>
      </w:r>
    </w:p>
    <w:p w14:paraId="31E4705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1.3“投标标的”为服务的：“规格”项下应填写服务提供者提供的服务标准及品牌（若有）。“来源地”应填写服务提供者的所在地。</w:t>
      </w:r>
    </w:p>
    <w:p w14:paraId="6E9E9EB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1.4同一</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中，“单价（现场）”×“数量”=“总价（现场）”，全部品目号“总价（现场）”的合计金额应与《开标一览表》中相应</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列示的“投标总价”保持一致。</w:t>
      </w:r>
    </w:p>
    <w:p w14:paraId="0AA9B28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1.5若招标文件要求投标人对“备品备件价格、专用工具价格、技术服务费、安装调试费、检验培训费、运输费、保险费、税收”等进行报价的，请在本表的“备注”项下填写。</w:t>
      </w:r>
    </w:p>
    <w:p w14:paraId="5D4B3642">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504ED250">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23D17C9D">
      <w:pPr>
        <w:pStyle w:val="24"/>
        <w:rPr>
          <w:rFonts w:hint="default" w:asciiTheme="minorEastAsia" w:hAnsiTheme="minorEastAsia" w:cstheme="minorEastAsia"/>
          <w:color w:val="auto"/>
          <w:highlight w:val="none"/>
        </w:rPr>
      </w:pPr>
    </w:p>
    <w:p w14:paraId="5DCA15F3">
      <w:pPr>
        <w:pStyle w:val="24"/>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11BEFB8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三、招标文件规定的价格扣除证明材料（若有）</w:t>
      </w:r>
    </w:p>
    <w:p w14:paraId="4082344B">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三-1优先类节能产品、环境标志产品价格扣除证明材料（若有）</w:t>
      </w:r>
    </w:p>
    <w:p w14:paraId="0F255E1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三-1-①优先类节能产品、环境标志产品统计表（价格扣除适用，若有）</w:t>
      </w:r>
    </w:p>
    <w:p w14:paraId="30EF8F3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p w14:paraId="38BE06B7">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货币及单位：人民币元</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14:paraId="38A523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B1F2E1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7122" w:type="dxa"/>
            <w:gridSpan w:val="6"/>
          </w:tcPr>
          <w:p w14:paraId="6807C412">
            <w:pPr>
              <w:pStyle w:val="24"/>
              <w:keepNext w:val="0"/>
              <w:keepLines w:val="0"/>
              <w:widowControl/>
              <w:suppressLineNumbers w:val="0"/>
              <w:spacing w:before="0" w:beforeAutospacing="0" w:after="0" w:afterAutospacing="0" w:line="480" w:lineRule="exact"/>
              <w:ind w:left="0" w:right="0"/>
              <w:jc w:val="center"/>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内属于节能、环境标志产品的情况</w:t>
            </w:r>
          </w:p>
        </w:tc>
      </w:tr>
      <w:tr w14:paraId="16DB2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5EDF7E0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1187" w:type="dxa"/>
          </w:tcPr>
          <w:p w14:paraId="7B146FA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品目号</w:t>
            </w:r>
          </w:p>
        </w:tc>
        <w:tc>
          <w:tcPr>
            <w:tcW w:w="1187" w:type="dxa"/>
          </w:tcPr>
          <w:p w14:paraId="2D175890">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货物名称</w:t>
            </w:r>
          </w:p>
        </w:tc>
        <w:tc>
          <w:tcPr>
            <w:tcW w:w="1187" w:type="dxa"/>
          </w:tcPr>
          <w:p w14:paraId="5BCBC40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单价（现场）</w:t>
            </w:r>
          </w:p>
        </w:tc>
        <w:tc>
          <w:tcPr>
            <w:tcW w:w="1187" w:type="dxa"/>
          </w:tcPr>
          <w:p w14:paraId="6544D8DB">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数量</w:t>
            </w:r>
          </w:p>
        </w:tc>
        <w:tc>
          <w:tcPr>
            <w:tcW w:w="1187" w:type="dxa"/>
          </w:tcPr>
          <w:p w14:paraId="2375945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总价（现场）</w:t>
            </w:r>
          </w:p>
        </w:tc>
        <w:tc>
          <w:tcPr>
            <w:tcW w:w="1187" w:type="dxa"/>
          </w:tcPr>
          <w:p w14:paraId="742EF9A6">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认证种类</w:t>
            </w:r>
          </w:p>
        </w:tc>
      </w:tr>
      <w:tr w14:paraId="2CA0FDE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14:paraId="5F79BFD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187" w:type="dxa"/>
          </w:tcPr>
          <w:p w14:paraId="52278B8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p>
        </w:tc>
        <w:tc>
          <w:tcPr>
            <w:tcW w:w="1187" w:type="dxa"/>
          </w:tcPr>
          <w:p w14:paraId="297B71F2">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581F063E">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7E2A1DD7">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00A04F59">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661B1E1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2F6FE3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14:paraId="2DB37B42">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664637D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187" w:type="dxa"/>
          </w:tcPr>
          <w:p w14:paraId="1EEA7B11">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1249E9F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64D41064">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6F5094C6">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187" w:type="dxa"/>
          </w:tcPr>
          <w:p w14:paraId="0400569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6126AE1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14:paraId="6420DAE6">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tc>
        <w:tc>
          <w:tcPr>
            <w:tcW w:w="7122" w:type="dxa"/>
            <w:gridSpan w:val="6"/>
          </w:tcPr>
          <w:p w14:paraId="2EDCA2D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a.</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内属于节能、环境标志产品的报价总金额：　　　　　；</w:t>
            </w:r>
          </w:p>
          <w:p w14:paraId="108CE6F9">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b.</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投标总价（报价总金额）：　　　　　；</w:t>
            </w:r>
          </w:p>
          <w:p w14:paraId="6F75800B">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c.“</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内属于节能、环境标志产品的报价总金额”占“</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投标总价（报价总金额）”的比例（以%列示）：　　　　　；</w:t>
            </w:r>
          </w:p>
        </w:tc>
      </w:tr>
    </w:tbl>
    <w:p w14:paraId="7B5F7A3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6816B50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1、对节能、环境标志产品计算价格扣除时，只依据</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“三-1-②优先类节能产品、环境标志产品证明材料（价格扣除适用，若有）”。</w:t>
      </w:r>
    </w:p>
    <w:p w14:paraId="546D726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2、本表以</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为单位，不同</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请分别填写；同一</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请按照其品目号顺序分别填写。</w:t>
      </w:r>
    </w:p>
    <w:p w14:paraId="25C4B46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3、具体统计、计算：</w:t>
      </w:r>
    </w:p>
    <w:p w14:paraId="5BCB2CB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3.1若节能、环境标志产品仅是构成投标产品的部件、组件或零件，则该投标产品不享受鼓励优惠政策。同一品目中各认证证书不重复计算价格扣除。强制类节能产品不享受价格扣除。</w:t>
      </w:r>
    </w:p>
    <w:p w14:paraId="67E4EF1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3.2计算结果若除不尽，可四舍五入保留到小数点后两位。</w:t>
      </w:r>
    </w:p>
    <w:p w14:paraId="754D69E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3.3投标人应按照招标文件要求认真统计、计算，否则评标委员会不予认定。</w:t>
      </w:r>
    </w:p>
    <w:p w14:paraId="3983DAD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3.4若无节能、环境标志产品，不填写本表，否则，视为提供虚假材料。</w:t>
      </w:r>
    </w:p>
    <w:p w14:paraId="39076D4A">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577856A5">
      <w:pPr>
        <w:pStyle w:val="24"/>
        <w:spacing w:line="480" w:lineRule="exact"/>
        <w:ind w:firstLine="480"/>
        <w:jc w:val="right"/>
        <w:rPr>
          <w:rFonts w:hint="default" w:asciiTheme="minorEastAsia" w:hAnsiTheme="minorEastAsia" w:cstheme="minorEastAsia"/>
          <w:color w:val="auto"/>
          <w:highlight w:val="none"/>
        </w:rPr>
      </w:pPr>
      <w:r>
        <w:rPr>
          <w:rFonts w:asciiTheme="minorEastAsia" w:hAnsiTheme="minorEastAsia" w:cstheme="minorEastAsia"/>
          <w:color w:val="auto"/>
          <w:sz w:val="24"/>
          <w:szCs w:val="24"/>
          <w:highlight w:val="none"/>
        </w:rPr>
        <w:t>日期：　　年　　月　　日</w:t>
      </w:r>
    </w:p>
    <w:p w14:paraId="7E04B80B">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459AE5A0">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4E83D1E">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三-1-②优先类节能产品、环境标志产品证明材料（价格扣除适用，若有）</w:t>
      </w:r>
    </w:p>
    <w:p w14:paraId="57FAEE7D">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E31AEAE">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三-2小型、微型企业产品等价格扣除证明材料（若有）</w:t>
      </w:r>
    </w:p>
    <w:p w14:paraId="3FB5F91D">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三-2-①中小企业声明函（价格扣除适用，若有）</w:t>
      </w:r>
    </w:p>
    <w:p w14:paraId="11E4221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中小企业声明函（货物）</w:t>
      </w:r>
    </w:p>
    <w:p w14:paraId="71456D5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本公司（联合体）郑重声明，根据《政府采购促进中小企业发展管理办法》（财库﹝2020﹞46</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号）的规定，本公司（联合体）参加（单位名称）的（项目名称）采购活动，提供的货物全部由符合政策要求的中小企业制造。相关企业（含联合体中的中小企业、签订分包意向协议的中小企业）的具体情况如下：</w:t>
      </w:r>
    </w:p>
    <w:p w14:paraId="08E7A470">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1.（标的名称），属于（采购文件中明确的所属行业）行业；制造商为（企业名称），从业人员　　　　　人，营业收入为　　　　　万元，资产总额为　　　　　万元</w:t>
      </w:r>
      <w:r>
        <w:rPr>
          <w:rFonts w:asciiTheme="minorEastAsia" w:hAnsiTheme="minorEastAsia" w:cstheme="minorEastAsia"/>
          <w:color w:val="auto"/>
          <w:sz w:val="24"/>
          <w:szCs w:val="24"/>
          <w:highlight w:val="none"/>
          <w:vertAlign w:val="superscript"/>
        </w:rPr>
        <w:t>1</w:t>
      </w:r>
      <w:r>
        <w:rPr>
          <w:rFonts w:asciiTheme="minorEastAsia" w:hAnsiTheme="minorEastAsia" w:cstheme="minorEastAsia"/>
          <w:color w:val="auto"/>
          <w:sz w:val="24"/>
          <w:szCs w:val="24"/>
          <w:highlight w:val="none"/>
        </w:rPr>
        <w:t>，属于（中型企业、小型企业、微型企业）；</w:t>
      </w:r>
    </w:p>
    <w:p w14:paraId="7E46EC3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2.（标的名称），属于（采购文件中明确的所属行业）行业；制造商为（企业名称），从业人员　　　　　人，营业收入为　　　　　万元，资产总额为　　　　　万元，属于（中型企业、小型企业、微型企业）；</w:t>
      </w:r>
    </w:p>
    <w:p w14:paraId="16588A1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11362A57">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以上企业，不属于大企业的分支机构，不存在控股股东为大企业的情形，也不存在与大企业的负责人为同一人的情形。</w:t>
      </w:r>
    </w:p>
    <w:p w14:paraId="4AA4A69A">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本企业对上述声明内容的真实性负责。如有虚假，将依法承担相应责任。</w:t>
      </w:r>
    </w:p>
    <w:p w14:paraId="3CD7B7AF">
      <w:pPr>
        <w:pStyle w:val="24"/>
        <w:spacing w:line="480" w:lineRule="exact"/>
        <w:ind w:firstLine="482"/>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6E16A841">
      <w:pPr>
        <w:pStyle w:val="24"/>
        <w:spacing w:line="480" w:lineRule="exact"/>
        <w:ind w:firstLine="482"/>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7A34752C">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27E88E85">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1、从业人员、营业收入、资产总额填报上一年度数据，无上一年度数据的新成立企业可不填报。</w:t>
      </w:r>
    </w:p>
    <w:p w14:paraId="5A8D82B6">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73DC6AF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6309E660">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C72B0A3">
      <w:pPr>
        <w:pStyle w:val="24"/>
        <w:jc w:val="center"/>
        <w:rPr>
          <w:rFonts w:hint="default" w:asciiTheme="minorEastAsia" w:hAnsiTheme="minorEastAsia" w:cstheme="minorEastAsia"/>
          <w:b/>
          <w:color w:val="auto"/>
          <w:sz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E6974F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4"/>
          <w:highlight w:val="none"/>
        </w:rPr>
        <w:t>中小企业声明函（工程、服务）</w:t>
      </w:r>
    </w:p>
    <w:p w14:paraId="25323BA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本公司（联合体）郑重声明，根据《政府采购促进中小企业发展管理办法》（财库﹝2020﹞46</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75B41B9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1.（标的名称），属于（采购文件中明确的所属行业）；承建（承接）企业为（企业名称），从业人员　　　　　人，营业收入为　　　　　万元，资产总额为　　　　　万元</w:t>
      </w:r>
      <w:r>
        <w:rPr>
          <w:rFonts w:asciiTheme="minorEastAsia" w:hAnsiTheme="minorEastAsia" w:cstheme="minorEastAsia"/>
          <w:color w:val="auto"/>
          <w:sz w:val="24"/>
          <w:szCs w:val="24"/>
          <w:highlight w:val="none"/>
          <w:vertAlign w:val="superscript"/>
        </w:rPr>
        <w:t>1</w:t>
      </w:r>
      <w:r>
        <w:rPr>
          <w:rFonts w:asciiTheme="minorEastAsia" w:hAnsiTheme="minorEastAsia" w:cstheme="minorEastAsia"/>
          <w:color w:val="auto"/>
          <w:sz w:val="24"/>
          <w:szCs w:val="24"/>
          <w:highlight w:val="none"/>
        </w:rPr>
        <w:t>，属于（中型企业、小型企业、微型企业）；</w:t>
      </w:r>
    </w:p>
    <w:p w14:paraId="773F73A7">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2.（标的名称），属于（采购文件中明确的所属行业）；承建（承接）企业为（企业名称），从业人员　　　　　人，营业收入为　　　　　万元，资产总额为　　　　　万元，属于（中型企业、小型企业、微型企业）；</w:t>
      </w:r>
    </w:p>
    <w:p w14:paraId="3D7E5AF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p w14:paraId="552EA15D">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以上企业，不属于大企业的分支机构，不存在控股股东为大企业的情形，也不存在与大企业的负责人为同一人的情形。</w:t>
      </w:r>
    </w:p>
    <w:p w14:paraId="3D03E54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本企业对上述声明内容的真实性负责。如有虚假，将依法承担相应责任。</w:t>
      </w:r>
    </w:p>
    <w:p w14:paraId="297F8F76">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6B067C3F">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4810B6F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5F917DD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1、从业人员、营业收入、资产总额填报上一年度数据，无上一年度数据的新成立企业可不填报。</w:t>
      </w:r>
    </w:p>
    <w:p w14:paraId="1477C07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14:paraId="254C001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14:paraId="25C8888F">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3C930FA7">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1D8DD9B6">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三-2-②小型、微型企业等证明材料（价格扣除适用，若有）</w:t>
      </w:r>
    </w:p>
    <w:p w14:paraId="6D3FB00B">
      <w:pPr>
        <w:pStyle w:val="24"/>
        <w:spacing w:line="480" w:lineRule="exact"/>
        <w:ind w:firstLine="480"/>
        <w:jc w:val="center"/>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编制说明</w:t>
      </w:r>
    </w:p>
    <w:p w14:paraId="170FAB1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1、投标人应按照招标文件要求提供相应证明材料，证明材料应与《中小企业声明函》的内容相一致，否则视为《中小企业声明函》内容不真实。</w:t>
      </w:r>
    </w:p>
    <w:p w14:paraId="39C95E7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2、投标人为监狱企业的，根据其提供的由省级以上监狱管理局、戒毒管理局（含新疆生产建设兵团）出具的属于监狱企业的证明文件进行认定，监狱企业视同小型、微型企业。</w:t>
      </w:r>
    </w:p>
    <w:p w14:paraId="46CC4E2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3、投标人为残疾人福利性单位的，根据其提供的《残疾人福利性单位声明函》（格式附后）进行认定，残疾人福利性单位视同小型、微型企业。残疾人福利性单位属于小型、微型企业的，不重复享受政策。</w:t>
      </w:r>
    </w:p>
    <w:p w14:paraId="70ADD0C2">
      <w:pPr>
        <w:pStyle w:val="24"/>
        <w:spacing w:line="480" w:lineRule="exact"/>
        <w:ind w:firstLine="480"/>
        <w:rPr>
          <w:rFonts w:hint="default" w:asciiTheme="minorEastAsia" w:hAnsiTheme="minorEastAsia" w:cstheme="minorEastAsia"/>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546D5B4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附：</w:t>
      </w:r>
    </w:p>
    <w:p w14:paraId="5E7DE7CD">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残疾人福利性单位声明函（价格扣除适用，若有）</w:t>
      </w:r>
    </w:p>
    <w:p w14:paraId="4654303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本投标人郑重声明，根据《财政部 民政部</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14:paraId="09FEA8A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ab/>
      </w:r>
      <w:r>
        <w:rPr>
          <w:rFonts w:asciiTheme="minorEastAsia" w:hAnsiTheme="minorEastAsia" w:cstheme="minorEastAsia"/>
          <w:color w:val="auto"/>
          <w:sz w:val="24"/>
          <w:szCs w:val="24"/>
          <w:highlight w:val="none"/>
        </w:rPr>
        <w:t xml:space="preserve"> ）提供本投标人制造的（填写“所投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、品目号”）货物，或提供其他残疾人福利性单位制造的（填写“所投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、品目号”）货物（不包括使用非残疾人福利性单位注册商标的货物）。（说明：只有部分货物由残疾人福利企业制造的，在该货物后标★）</w:t>
      </w:r>
    </w:p>
    <w:p w14:paraId="47470D6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）由本投标人承建的（填写“所投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、品目号”）工程</w:t>
      </w:r>
    </w:p>
    <w:p w14:paraId="5758FA1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）由本投标人承接的（填写“所投</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、品目号”）服务；</w:t>
      </w:r>
    </w:p>
    <w:p w14:paraId="04E7D6EC">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本投标人对上述声明的真实性负责。如有虚假，将依法承担相应责任。</w:t>
      </w:r>
    </w:p>
    <w:p w14:paraId="311C869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p w14:paraId="1399D6D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1、请投标人按照实际情况编制填写本声明函，并在相应的（）中打“√”。</w:t>
      </w:r>
    </w:p>
    <w:p w14:paraId="02A10CB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2、若《残疾人福利性单位声明函》内容不真实，视为提供虚假材料。</w:t>
      </w:r>
    </w:p>
    <w:p w14:paraId="3921D89A">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1D5AA771">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3D9C1B26">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00F53FE6">
      <w:pPr>
        <w:pStyle w:val="24"/>
        <w:spacing w:line="480" w:lineRule="exact"/>
        <w:ind w:firstLine="480"/>
        <w:rPr>
          <w:rFonts w:hint="default" w:asciiTheme="minorEastAsia" w:hAnsiTheme="minorEastAsia" w:cstheme="minorEastAsia"/>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014326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附：</w:t>
      </w:r>
    </w:p>
    <w:p w14:paraId="094DA7D1">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监狱企业证明材料</w:t>
      </w:r>
    </w:p>
    <w:p w14:paraId="0EA3CA0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投标人为监狱企业，提供本单位制造的货物（承接的服务），并在</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中提供省级以上监狱管理局、戒毒管理局（含新疆生产建设兵团）出具的属于监狱企业的证明文件。</w:t>
      </w:r>
    </w:p>
    <w:p w14:paraId="48DEAFA2">
      <w:pPr>
        <w:pStyle w:val="24"/>
        <w:spacing w:line="480" w:lineRule="exac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 xml:space="preserve"> </w:t>
      </w:r>
    </w:p>
    <w:p w14:paraId="6E1BB1E2">
      <w:pPr>
        <w:pStyle w:val="24"/>
        <w:spacing w:line="480" w:lineRule="exact"/>
        <w:jc w:val="center"/>
        <w:rPr>
          <w:rFonts w:hint="default" w:asciiTheme="minorEastAsia" w:hAnsiTheme="minorEastAsia" w:cstheme="minorEastAsia"/>
          <w:b/>
          <w:color w:val="auto"/>
          <w:sz w:val="24"/>
          <w:szCs w:val="24"/>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27166FF2">
      <w:pPr>
        <w:pStyle w:val="24"/>
        <w:spacing w:line="480" w:lineRule="exact"/>
        <w:jc w:val="center"/>
        <w:rPr>
          <w:rFonts w:hint="default" w:asciiTheme="minorEastAsia" w:hAnsiTheme="minorEastAsia" w:cstheme="minorEastAsia"/>
          <w:color w:val="auto"/>
          <w:sz w:val="24"/>
          <w:szCs w:val="24"/>
          <w:highlight w:val="none"/>
        </w:rPr>
      </w:pPr>
      <w:r>
        <w:rPr>
          <w:rFonts w:asciiTheme="minorEastAsia" w:hAnsiTheme="minorEastAsia" w:cstheme="minorEastAsia"/>
          <w:b/>
          <w:color w:val="auto"/>
          <w:sz w:val="24"/>
          <w:szCs w:val="24"/>
          <w:highlight w:val="none"/>
        </w:rPr>
        <w:t>三-3招标文件规定的其他价格扣除证明材料（若有）</w:t>
      </w:r>
    </w:p>
    <w:p w14:paraId="08063BB4">
      <w:pPr>
        <w:pStyle w:val="24"/>
        <w:spacing w:line="480" w:lineRule="exact"/>
        <w:ind w:firstLine="480"/>
        <w:jc w:val="center"/>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编制说明</w:t>
      </w:r>
    </w:p>
    <w:p w14:paraId="079703A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若投标人可享受招标文件规定的除“节能（非强制类）、环境标志产品价格扣除”及“小型、微型企业产品等价格扣除”外的其他价格扣除优惠，则投标人应按照招标文件要求提供相应证明材料。</w:t>
      </w:r>
    </w:p>
    <w:p w14:paraId="49D814E1">
      <w:pPr>
        <w:pStyle w:val="24"/>
        <w:rPr>
          <w:rFonts w:hint="default" w:asciiTheme="minorEastAsia" w:hAnsiTheme="minorEastAsia" w:cstheme="minorEastAsia"/>
          <w:color w:val="auto"/>
          <w:highlight w:val="none"/>
        </w:rPr>
      </w:pPr>
    </w:p>
    <w:p w14:paraId="54F63A74">
      <w:pPr>
        <w:pStyle w:val="24"/>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asciiTheme="minorEastAsia" w:hAnsiTheme="minorEastAsia" w:cstheme="minorEastAsia"/>
          <w:color w:val="auto"/>
          <w:highlight w:val="none"/>
        </w:rPr>
        <w:t xml:space="preserve"> </w:t>
      </w:r>
    </w:p>
    <w:p w14:paraId="7C93B58B">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封面格式(技术商务部分)</w:t>
      </w:r>
    </w:p>
    <w:p w14:paraId="55F8CD10">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48"/>
          <w:highlight w:val="none"/>
        </w:rPr>
        <w:t>福建省政府采购投标文件</w:t>
      </w:r>
    </w:p>
    <w:p w14:paraId="22DA95EA">
      <w:pPr>
        <w:pStyle w:val="24"/>
        <w:jc w:val="center"/>
        <w:rPr>
          <w:rFonts w:hint="default" w:asciiTheme="minorEastAsia" w:hAnsiTheme="minorEastAsia" w:cstheme="minorEastAsia"/>
          <w:b/>
          <w:color w:val="auto"/>
          <w:sz w:val="48"/>
          <w:highlight w:val="none"/>
          <w:lang w:eastAsia="zh-CN"/>
        </w:rPr>
      </w:pPr>
      <w:r>
        <w:rPr>
          <w:rFonts w:asciiTheme="minorEastAsia" w:hAnsiTheme="minorEastAsia" w:cstheme="minorEastAsia"/>
          <w:b/>
          <w:color w:val="auto"/>
          <w:sz w:val="48"/>
          <w:highlight w:val="none"/>
        </w:rPr>
        <w:t>（技术商务部分）</w:t>
      </w:r>
    </w:p>
    <w:p w14:paraId="4122ADCE">
      <w:pPr>
        <w:pStyle w:val="24"/>
        <w:jc w:val="center"/>
        <w:rPr>
          <w:rFonts w:hint="default" w:asciiTheme="minorEastAsia" w:hAnsiTheme="minorEastAsia" w:cstheme="minorEastAsia"/>
          <w:b/>
          <w:color w:val="auto"/>
          <w:sz w:val="48"/>
          <w:highlight w:val="none"/>
          <w:lang w:eastAsia="zh-CN"/>
        </w:rPr>
      </w:pPr>
    </w:p>
    <w:p w14:paraId="627E9341">
      <w:pPr>
        <w:pStyle w:val="24"/>
        <w:jc w:val="center"/>
        <w:rPr>
          <w:rFonts w:hint="default" w:asciiTheme="minorEastAsia" w:hAnsiTheme="minorEastAsia" w:cstheme="minorEastAsia"/>
          <w:color w:val="auto"/>
          <w:highlight w:val="none"/>
          <w:lang w:eastAsia="zh-CN"/>
        </w:rPr>
      </w:pPr>
    </w:p>
    <w:p w14:paraId="019C739E">
      <w:pPr>
        <w:pStyle w:val="24"/>
        <w:jc w:val="center"/>
        <w:rPr>
          <w:rFonts w:hint="default" w:asciiTheme="minorEastAsia" w:hAnsiTheme="minorEastAsia" w:cstheme="minorEastAsia"/>
          <w:color w:val="auto"/>
          <w:highlight w:val="none"/>
          <w:lang w:eastAsia="zh-CN"/>
        </w:rPr>
      </w:pPr>
    </w:p>
    <w:p w14:paraId="274D3A9A">
      <w:pPr>
        <w:pStyle w:val="24"/>
        <w:jc w:val="center"/>
        <w:rPr>
          <w:rFonts w:hint="default" w:asciiTheme="minorEastAsia" w:hAnsiTheme="minorEastAsia" w:cstheme="minorEastAsia"/>
          <w:b/>
          <w:color w:val="auto"/>
          <w:sz w:val="36"/>
          <w:highlight w:val="none"/>
          <w:lang w:eastAsia="zh-CN"/>
        </w:rPr>
      </w:pPr>
      <w:r>
        <w:rPr>
          <w:rFonts w:asciiTheme="minorEastAsia" w:hAnsiTheme="minorEastAsia" w:cstheme="minorEastAsia"/>
          <w:b/>
          <w:color w:val="auto"/>
          <w:sz w:val="36"/>
          <w:highlight w:val="none"/>
        </w:rPr>
        <w:t>（填写正本或副本）</w:t>
      </w:r>
    </w:p>
    <w:p w14:paraId="386ABA3A">
      <w:pPr>
        <w:pStyle w:val="24"/>
        <w:jc w:val="center"/>
        <w:rPr>
          <w:rFonts w:hint="default" w:asciiTheme="minorEastAsia" w:hAnsiTheme="minorEastAsia" w:cstheme="minorEastAsia"/>
          <w:b/>
          <w:color w:val="auto"/>
          <w:sz w:val="36"/>
          <w:highlight w:val="none"/>
          <w:lang w:eastAsia="zh-CN"/>
        </w:rPr>
      </w:pPr>
    </w:p>
    <w:p w14:paraId="2F797346">
      <w:pPr>
        <w:pStyle w:val="24"/>
        <w:jc w:val="center"/>
        <w:rPr>
          <w:rFonts w:hint="default" w:asciiTheme="minorEastAsia" w:hAnsiTheme="minorEastAsia" w:cstheme="minorEastAsia"/>
          <w:color w:val="auto"/>
          <w:highlight w:val="none"/>
          <w:lang w:eastAsia="zh-CN"/>
        </w:rPr>
      </w:pPr>
    </w:p>
    <w:p w14:paraId="1EEDEB2F">
      <w:pPr>
        <w:pStyle w:val="24"/>
        <w:jc w:val="center"/>
        <w:rPr>
          <w:rFonts w:hint="default" w:asciiTheme="minorEastAsia" w:hAnsiTheme="minorEastAsia" w:cstheme="minorEastAsia"/>
          <w:color w:val="auto"/>
          <w:highlight w:val="none"/>
          <w:lang w:eastAsia="zh-CN"/>
        </w:rPr>
      </w:pPr>
    </w:p>
    <w:p w14:paraId="5E0B1945">
      <w:pPr>
        <w:pStyle w:val="24"/>
        <w:jc w:val="center"/>
        <w:rPr>
          <w:rFonts w:hint="default" w:asciiTheme="minorEastAsia" w:hAnsiTheme="minorEastAsia" w:cstheme="minorEastAsia"/>
          <w:color w:val="auto"/>
          <w:highlight w:val="none"/>
          <w:lang w:eastAsia="zh-CN"/>
        </w:rPr>
      </w:pPr>
    </w:p>
    <w:p w14:paraId="4626A0CE">
      <w:pPr>
        <w:pStyle w:val="24"/>
        <w:jc w:val="center"/>
        <w:rPr>
          <w:rFonts w:hint="default" w:asciiTheme="minorEastAsia" w:hAnsiTheme="minorEastAsia" w:cstheme="minorEastAsia"/>
          <w:color w:val="auto"/>
          <w:highlight w:val="none"/>
          <w:lang w:eastAsia="zh-CN"/>
        </w:rPr>
      </w:pPr>
    </w:p>
    <w:p w14:paraId="465927A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（项目名称：（由投标人填写）</w:t>
      </w:r>
    </w:p>
    <w:p w14:paraId="53E0302C">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（备案编号：（由投标人填写）</w:t>
      </w:r>
    </w:p>
    <w:p w14:paraId="63A92E41">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（项目编号：（由投标人填写）</w:t>
      </w:r>
    </w:p>
    <w:p w14:paraId="0EEA2B40">
      <w:pPr>
        <w:pStyle w:val="24"/>
        <w:jc w:val="center"/>
        <w:rPr>
          <w:rFonts w:hint="default" w:asciiTheme="minorEastAsia" w:hAnsiTheme="minorEastAsia" w:cstheme="minorEastAsia"/>
          <w:b/>
          <w:color w:val="auto"/>
          <w:sz w:val="28"/>
          <w:highlight w:val="none"/>
          <w:lang w:eastAsia="zh-CN"/>
        </w:rPr>
      </w:pPr>
      <w:r>
        <w:rPr>
          <w:rFonts w:asciiTheme="minorEastAsia" w:hAnsiTheme="minorEastAsia" w:cstheme="minorEastAsia"/>
          <w:b/>
          <w:color w:val="auto"/>
          <w:sz w:val="28"/>
          <w:highlight w:val="none"/>
        </w:rPr>
        <w:t>（所投</w:t>
      </w:r>
      <w:r>
        <w:rPr>
          <w:rFonts w:hint="eastAsia" w:asciiTheme="minorEastAsia" w:hAnsiTheme="minorEastAsia" w:cstheme="minorEastAsia"/>
          <w:b/>
          <w:color w:val="auto"/>
          <w:sz w:val="28"/>
          <w:highlight w:val="none"/>
          <w:lang w:eastAsia="zh-CN"/>
        </w:rPr>
        <w:t>采购包</w:t>
      </w:r>
      <w:r>
        <w:rPr>
          <w:rFonts w:asciiTheme="minorEastAsia" w:hAnsiTheme="minorEastAsia" w:cstheme="minorEastAsia"/>
          <w:b/>
          <w:color w:val="auto"/>
          <w:sz w:val="28"/>
          <w:highlight w:val="none"/>
        </w:rPr>
        <w:t>：（由投标人填写）</w:t>
      </w:r>
    </w:p>
    <w:p w14:paraId="37A94F26">
      <w:pPr>
        <w:pStyle w:val="24"/>
        <w:jc w:val="center"/>
        <w:rPr>
          <w:rFonts w:hint="default" w:asciiTheme="minorEastAsia" w:hAnsiTheme="minorEastAsia" w:cstheme="minorEastAsia"/>
          <w:b/>
          <w:color w:val="auto"/>
          <w:sz w:val="28"/>
          <w:highlight w:val="none"/>
          <w:lang w:eastAsia="zh-CN"/>
        </w:rPr>
      </w:pPr>
    </w:p>
    <w:p w14:paraId="3B79B3C1">
      <w:pPr>
        <w:pStyle w:val="24"/>
        <w:jc w:val="center"/>
        <w:rPr>
          <w:rFonts w:hint="default" w:asciiTheme="minorEastAsia" w:hAnsiTheme="minorEastAsia" w:cstheme="minorEastAsia"/>
          <w:color w:val="auto"/>
          <w:highlight w:val="none"/>
          <w:lang w:eastAsia="zh-CN"/>
        </w:rPr>
      </w:pPr>
    </w:p>
    <w:p w14:paraId="23EBFED5">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投标人：（填写“全称”）</w:t>
      </w:r>
    </w:p>
    <w:p w14:paraId="17D26D09">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（由投标人填写）年（由投标人填写）月</w:t>
      </w:r>
    </w:p>
    <w:p w14:paraId="598B9D6B">
      <w:pPr>
        <w:pStyle w:val="24"/>
        <w:rPr>
          <w:rFonts w:hint="default" w:asciiTheme="minorEastAsia" w:hAnsiTheme="minorEastAsia" w:cstheme="minorEastAsia"/>
          <w:color w:val="auto"/>
          <w:highlight w:val="none"/>
        </w:rPr>
      </w:pPr>
    </w:p>
    <w:p w14:paraId="61824B36">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120BCAD7">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559AE1E2">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索引</w:t>
      </w:r>
    </w:p>
    <w:p w14:paraId="41E9377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一、标的说明一览表</w:t>
      </w:r>
    </w:p>
    <w:p w14:paraId="111166A5">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二、技术和服务要求响应表</w:t>
      </w:r>
    </w:p>
    <w:p w14:paraId="15EFDC4C">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三、商务条件响应表</w:t>
      </w:r>
    </w:p>
    <w:p w14:paraId="29CD3A06">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四、投标人提交的其他资料（若有）</w:t>
      </w:r>
    </w:p>
    <w:p w14:paraId="1C3DBFDE">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084B1502">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技术商务部分中不得出现报价部分的全部或部分的投标报价信息（或组成资料），否则符合性审查不合格。</w:t>
      </w:r>
    </w:p>
    <w:p w14:paraId="5E0E13A2">
      <w:pPr>
        <w:pStyle w:val="24"/>
        <w:rPr>
          <w:rFonts w:hint="default" w:asciiTheme="minorEastAsia" w:hAnsiTheme="minorEastAsia" w:cstheme="minorEastAsia"/>
          <w:color w:val="auto"/>
          <w:highlight w:val="none"/>
        </w:rPr>
      </w:pPr>
    </w:p>
    <w:p w14:paraId="69CFAD9C">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49151ACD">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C10C1AD">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一、标的说明一览表</w:t>
      </w:r>
    </w:p>
    <w:p w14:paraId="45EEBA7A">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tbl>
      <w:tblPr>
        <w:tblStyle w:val="17"/>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84"/>
        <w:gridCol w:w="1384"/>
        <w:gridCol w:w="1384"/>
        <w:gridCol w:w="1384"/>
        <w:gridCol w:w="1384"/>
        <w:gridCol w:w="1384"/>
      </w:tblGrid>
      <w:tr w14:paraId="17C534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42AD060A">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1384" w:type="dxa"/>
          </w:tcPr>
          <w:p w14:paraId="0C74C26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品目号</w:t>
            </w:r>
          </w:p>
        </w:tc>
        <w:tc>
          <w:tcPr>
            <w:tcW w:w="1384" w:type="dxa"/>
          </w:tcPr>
          <w:p w14:paraId="11BE21F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投标标的</w:t>
            </w:r>
          </w:p>
        </w:tc>
        <w:tc>
          <w:tcPr>
            <w:tcW w:w="1384" w:type="dxa"/>
          </w:tcPr>
          <w:p w14:paraId="593FA9BA">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规格</w:t>
            </w:r>
          </w:p>
        </w:tc>
        <w:tc>
          <w:tcPr>
            <w:tcW w:w="1384" w:type="dxa"/>
          </w:tcPr>
          <w:p w14:paraId="1EB49D2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来源地</w:t>
            </w:r>
          </w:p>
        </w:tc>
        <w:tc>
          <w:tcPr>
            <w:tcW w:w="1384" w:type="dxa"/>
          </w:tcPr>
          <w:p w14:paraId="061F2CC1">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备注</w:t>
            </w:r>
          </w:p>
        </w:tc>
      </w:tr>
      <w:tr w14:paraId="5520837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restart"/>
          </w:tcPr>
          <w:p w14:paraId="6DF4489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384" w:type="dxa"/>
          </w:tcPr>
          <w:p w14:paraId="6D7092F6">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p>
        </w:tc>
        <w:tc>
          <w:tcPr>
            <w:tcW w:w="1384" w:type="dxa"/>
          </w:tcPr>
          <w:p w14:paraId="1AA3A3D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7ACE1D7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75719930">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3F90A5C3">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2209513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vMerge w:val="continue"/>
          </w:tcPr>
          <w:p w14:paraId="01357E90">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3E365312">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384" w:type="dxa"/>
          </w:tcPr>
          <w:p w14:paraId="63913BE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66D4830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1595D9B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7344EF66">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5E66947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384" w:type="dxa"/>
          </w:tcPr>
          <w:p w14:paraId="44A5B5A6">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384" w:type="dxa"/>
          </w:tcPr>
          <w:p w14:paraId="4BC269B5">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4B652B01">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72099AB1">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053CAFE5">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384" w:type="dxa"/>
          </w:tcPr>
          <w:p w14:paraId="6F04755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bl>
    <w:p w14:paraId="3C3B622F">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13CAAC41">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1、本表应按照下列规定填写：</w:t>
      </w:r>
    </w:p>
    <w:p w14:paraId="282A455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”、“品目号”、“投标标的”及“数量”应与招标文件《采购标的一览表》中的有关内容（“</w:t>
      </w:r>
      <w:r>
        <w:rPr>
          <w:rFonts w:hint="eastAsia" w:asciiTheme="minorEastAsia" w:hAnsiTheme="minorEastAsia" w:cstheme="minorEastAsia"/>
          <w:color w:val="auto"/>
          <w:sz w:val="24"/>
          <w:szCs w:val="24"/>
          <w:highlight w:val="none"/>
          <w:lang w:eastAsia="zh-CN"/>
        </w:rPr>
        <w:t>采购包</w:t>
      </w:r>
      <w:r>
        <w:rPr>
          <w:rFonts w:asciiTheme="minorEastAsia" w:hAnsiTheme="minorEastAsia" w:cstheme="minorEastAsia"/>
          <w:color w:val="auto"/>
          <w:sz w:val="24"/>
          <w:szCs w:val="24"/>
          <w:highlight w:val="none"/>
        </w:rPr>
        <w:t>”、“品目号”、“采购标的”及“数量”）保持一致。</w:t>
      </w:r>
    </w:p>
    <w:p w14:paraId="47F986E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14:paraId="58D6580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1.3“投标标的”为服务的：“规格”项下应填写服务提供者提供的服务标准及品牌（若有）。“来源地”应填写服务提供者的所在地。“备注”项下应填写关于服务标准所涵盖的具体项目或内容的说明等。</w:t>
      </w:r>
    </w:p>
    <w:p w14:paraId="73B8AE39">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0BCAA72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w:t>
      </w:r>
      <w:r>
        <w:rPr>
          <w:rFonts w:asciiTheme="minorEastAsia" w:hAnsiTheme="minorEastAsia" w:cstheme="minorEastAsia"/>
          <w:color w:val="auto"/>
          <w:sz w:val="24"/>
          <w:szCs w:val="24"/>
          <w:highlight w:val="none"/>
          <w:lang w:eastAsia="zh-CN"/>
        </w:rPr>
        <w:t>投标文件</w:t>
      </w:r>
      <w:r>
        <w:rPr>
          <w:rFonts w:asciiTheme="minorEastAsia" w:hAnsiTheme="minorEastAsia" w:cstheme="minorEastAsia"/>
          <w:color w:val="auto"/>
          <w:sz w:val="24"/>
          <w:szCs w:val="24"/>
          <w:highlight w:val="none"/>
        </w:rPr>
        <w:t>中涉及“投标标的”、“数量”、“规格”、“来源地”的内容若不一致，应以本表为准。</w:t>
      </w:r>
    </w:p>
    <w:p w14:paraId="63C963F3">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35B7CF29">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2A7563B4">
      <w:pPr>
        <w:pStyle w:val="24"/>
        <w:rPr>
          <w:rFonts w:hint="default" w:asciiTheme="minorEastAsia" w:hAnsiTheme="minorEastAsia" w:cstheme="minorEastAsia"/>
          <w:color w:val="auto"/>
          <w:highlight w:val="none"/>
        </w:rPr>
      </w:pPr>
    </w:p>
    <w:p w14:paraId="32B094EC">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959CFE0">
      <w:pPr>
        <w:pStyle w:val="24"/>
        <w:jc w:val="center"/>
        <w:rPr>
          <w:rFonts w:asciiTheme="minorEastAsia" w:hAnsiTheme="minorEastAsia" w:cstheme="minorEastAsia"/>
          <w:b/>
          <w:color w:val="auto"/>
          <w:sz w:val="28"/>
          <w:highlight w:val="none"/>
        </w:rPr>
      </w:pPr>
    </w:p>
    <w:p w14:paraId="75C21663">
      <w:pPr>
        <w:pStyle w:val="24"/>
        <w:jc w:val="center"/>
        <w:rPr>
          <w:rFonts w:asciiTheme="minorEastAsia" w:hAnsiTheme="minorEastAsia" w:cstheme="minorEastAsia"/>
          <w:b/>
          <w:color w:val="auto"/>
          <w:sz w:val="28"/>
          <w:highlight w:val="none"/>
        </w:rPr>
      </w:pPr>
    </w:p>
    <w:p w14:paraId="5BC9785F">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二、技术和服务要求响应表</w:t>
      </w:r>
    </w:p>
    <w:p w14:paraId="1944A64E">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52A1FE9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tcPr>
          <w:p w14:paraId="6B6B6773">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1661" w:type="dxa"/>
          </w:tcPr>
          <w:p w14:paraId="1E9F737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品目号</w:t>
            </w:r>
          </w:p>
        </w:tc>
        <w:tc>
          <w:tcPr>
            <w:tcW w:w="1661" w:type="dxa"/>
          </w:tcPr>
          <w:p w14:paraId="1DCDD9A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技术和服务要求</w:t>
            </w:r>
          </w:p>
        </w:tc>
        <w:tc>
          <w:tcPr>
            <w:tcW w:w="1661" w:type="dxa"/>
          </w:tcPr>
          <w:p w14:paraId="1A5C9BB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投标响应</w:t>
            </w:r>
          </w:p>
        </w:tc>
        <w:tc>
          <w:tcPr>
            <w:tcW w:w="1661" w:type="dxa"/>
          </w:tcPr>
          <w:p w14:paraId="50C1B26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是否偏离及说明</w:t>
            </w:r>
          </w:p>
        </w:tc>
      </w:tr>
      <w:tr w14:paraId="1E2E3B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vMerge w:val="restart"/>
          </w:tcPr>
          <w:p w14:paraId="6CF91A57">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347B4766">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p>
        </w:tc>
        <w:tc>
          <w:tcPr>
            <w:tcW w:w="1661" w:type="dxa"/>
          </w:tcPr>
          <w:p w14:paraId="10E521A7">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0E37EFBB">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1CE561AD">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3449DDB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vMerge w:val="continue"/>
          </w:tcPr>
          <w:p w14:paraId="338400BB">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5638462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179D003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46043DD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1506D896">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0EF0B32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tcPr>
          <w:p w14:paraId="2FE96728">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471E5C2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2BDA5322">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36244AEF">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1A0CFD11">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bl>
    <w:p w14:paraId="58446F7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668CA1E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1、本表应按照下列规定填写：</w:t>
      </w:r>
    </w:p>
    <w:p w14:paraId="64D003A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1.1“技术和服务要求”项下填写的内容应与招标文件第五章“技术和服务要求”的内容保持一致。</w:t>
      </w:r>
    </w:p>
    <w:p w14:paraId="11296485">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14:paraId="3089EDC8">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1.3“是否偏离及说明”项下应按下列规定填写：优于的，填写“正偏离”；符合的，填写“无偏离”；低于的，填写“负偏离”。</w:t>
      </w:r>
    </w:p>
    <w:p w14:paraId="3A5D09F6">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077FBF2F">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6CC6F94F">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5E48765B">
      <w:pPr>
        <w:pStyle w:val="24"/>
        <w:rPr>
          <w:rFonts w:hint="default" w:asciiTheme="minorEastAsia" w:hAnsiTheme="minorEastAsia" w:cstheme="minorEastAsia"/>
          <w:color w:val="auto"/>
          <w:highlight w:val="none"/>
        </w:rPr>
      </w:pPr>
    </w:p>
    <w:p w14:paraId="14B1E572">
      <w:pPr>
        <w:pStyle w:val="24"/>
        <w:rPr>
          <w:rFonts w:hint="default" w:asciiTheme="minorEastAsia" w:hAnsiTheme="minorEastAsia" w:cstheme="minorEastAsia"/>
          <w:color w:val="auto"/>
          <w:highlight w:val="none"/>
        </w:rPr>
      </w:pPr>
      <w:r>
        <w:rPr>
          <w:rFonts w:asciiTheme="minorEastAsia" w:hAnsiTheme="minorEastAsia" w:cstheme="minorEastAsia"/>
          <w:color w:val="auto"/>
          <w:highlight w:val="none"/>
        </w:rPr>
        <w:t xml:space="preserve"> </w:t>
      </w:r>
    </w:p>
    <w:p w14:paraId="0A9FBEFF">
      <w:pPr>
        <w:pStyle w:val="24"/>
        <w:jc w:val="center"/>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32DB2EE7">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三、商务条件响应表</w:t>
      </w:r>
    </w:p>
    <w:p w14:paraId="7BC4D75B">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项目编号：　　　　　　　　</w:t>
      </w:r>
    </w:p>
    <w:tbl>
      <w:tblPr>
        <w:tblStyle w:val="17"/>
        <w:tblW w:w="0" w:type="auto"/>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14:paraId="6F08FF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tcPr>
          <w:p w14:paraId="7ECB17AF">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lang w:eastAsia="zh-CN"/>
              </w:rPr>
            </w:pPr>
            <w:r>
              <w:rPr>
                <w:rFonts w:hint="eastAsia" w:asciiTheme="minorEastAsia" w:hAnsiTheme="minorEastAsia" w:cstheme="minorEastAsia"/>
                <w:color w:val="auto"/>
                <w:sz w:val="24"/>
                <w:szCs w:val="24"/>
                <w:highlight w:val="none"/>
                <w:lang w:eastAsia="zh-CN"/>
              </w:rPr>
              <w:t>采购包</w:t>
            </w:r>
          </w:p>
        </w:tc>
        <w:tc>
          <w:tcPr>
            <w:tcW w:w="1661" w:type="dxa"/>
          </w:tcPr>
          <w:p w14:paraId="381173C5">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品目号</w:t>
            </w:r>
          </w:p>
        </w:tc>
        <w:tc>
          <w:tcPr>
            <w:tcW w:w="1661" w:type="dxa"/>
          </w:tcPr>
          <w:p w14:paraId="746DCA80">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商务条件</w:t>
            </w:r>
          </w:p>
        </w:tc>
        <w:tc>
          <w:tcPr>
            <w:tcW w:w="1661" w:type="dxa"/>
          </w:tcPr>
          <w:p w14:paraId="4FDDF85C">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投标响应</w:t>
            </w:r>
          </w:p>
        </w:tc>
        <w:tc>
          <w:tcPr>
            <w:tcW w:w="1661" w:type="dxa"/>
          </w:tcPr>
          <w:p w14:paraId="73F23E1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是否偏离及说明</w:t>
            </w:r>
          </w:p>
        </w:tc>
      </w:tr>
      <w:tr w14:paraId="0CEE2A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vMerge w:val="restart"/>
          </w:tcPr>
          <w:p w14:paraId="60D2455E">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27340A0D">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w:t>
            </w:r>
          </w:p>
        </w:tc>
        <w:tc>
          <w:tcPr>
            <w:tcW w:w="1661" w:type="dxa"/>
          </w:tcPr>
          <w:p w14:paraId="344D7F3E">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0293930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2098029B">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23B06F8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vMerge w:val="continue"/>
          </w:tcPr>
          <w:p w14:paraId="20699D3A">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6C9E8E4B">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0415DAC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7C649335">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692813BF">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r w14:paraId="6FF5A62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661" w:type="dxa"/>
          </w:tcPr>
          <w:p w14:paraId="0C79DDB9">
            <w:pPr>
              <w:pStyle w:val="24"/>
              <w:keepNext w:val="0"/>
              <w:keepLines w:val="0"/>
              <w:widowControl/>
              <w:suppressLineNumbers w:val="0"/>
              <w:spacing w:before="0" w:beforeAutospacing="0" w:after="0" w:afterAutospacing="0" w:line="480" w:lineRule="exact"/>
              <w:ind w:left="0" w:right="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w:t>
            </w:r>
          </w:p>
        </w:tc>
        <w:tc>
          <w:tcPr>
            <w:tcW w:w="1661" w:type="dxa"/>
          </w:tcPr>
          <w:p w14:paraId="549D46A9">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13471691">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7E1A0CEC">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c>
          <w:tcPr>
            <w:tcW w:w="1661" w:type="dxa"/>
          </w:tcPr>
          <w:p w14:paraId="2B1D5C68">
            <w:pPr>
              <w:keepNext w:val="0"/>
              <w:keepLines w:val="0"/>
              <w:suppressLineNumbers w:val="0"/>
              <w:spacing w:before="0" w:beforeAutospacing="0" w:after="0" w:afterAutospacing="0" w:line="480" w:lineRule="exact"/>
              <w:ind w:left="0" w:right="0"/>
              <w:rPr>
                <w:rFonts w:hint="default" w:asciiTheme="minorEastAsia" w:hAnsiTheme="minorEastAsia" w:cstheme="minorEastAsia"/>
                <w:color w:val="auto"/>
                <w:sz w:val="24"/>
                <w:highlight w:val="none"/>
              </w:rPr>
            </w:pPr>
          </w:p>
        </w:tc>
      </w:tr>
    </w:tbl>
    <w:p w14:paraId="7DEBCCB3">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※注意：</w:t>
      </w:r>
    </w:p>
    <w:p w14:paraId="27183014">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1、本表应按照下列规定填写：</w:t>
      </w:r>
    </w:p>
    <w:p w14:paraId="4555584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1.1“商务条件”项下填写的内容应与招标文件第五章“商务条件”的内容保持一致。</w:t>
      </w:r>
    </w:p>
    <w:p w14:paraId="4C9A559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1.2“投标响应”项下应填写具体的响应内容并与“商务条件”项下填写的内容逐项对应；对“商务条件”项下涉及“≥或＞”、“≤或＜”及某个区间值范围内的内容，应填写具体的数值。</w:t>
      </w:r>
    </w:p>
    <w:p w14:paraId="45C9E5D2">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1.3“是否偏离及说明”项下应按下列规定填写：优于的，填写“正偏离”；符合的，填写“无偏离”；低于的，填写“负偏离”。</w:t>
      </w:r>
    </w:p>
    <w:p w14:paraId="4E433B10">
      <w:pPr>
        <w:pStyle w:val="24"/>
        <w:spacing w:line="480" w:lineRule="exact"/>
        <w:ind w:firstLine="480"/>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2、投标人需要说明的内容若需特殊表达，应先在本表中进行相应说明，再另页应答，但应做好标注说明，方便评委查阅评审。未标注说明可能导致的不利的评审后果由投标人自行承担。</w:t>
      </w:r>
    </w:p>
    <w:p w14:paraId="0989D0A7">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投标人：（全称并加盖单位公章）</w:t>
      </w:r>
    </w:p>
    <w:p w14:paraId="08D91A4F">
      <w:pPr>
        <w:pStyle w:val="24"/>
        <w:spacing w:line="480" w:lineRule="exact"/>
        <w:ind w:firstLine="480"/>
        <w:jc w:val="right"/>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日期：　　年　　月　　日</w:t>
      </w:r>
    </w:p>
    <w:p w14:paraId="1C1D3BD7">
      <w:pPr>
        <w:pStyle w:val="24"/>
        <w:rPr>
          <w:rFonts w:hint="default" w:asciiTheme="minorEastAsia" w:hAnsiTheme="minorEastAsia" w:cstheme="minorEastAsia"/>
          <w:color w:val="auto"/>
          <w:highlight w:val="none"/>
        </w:rPr>
      </w:pPr>
    </w:p>
    <w:p w14:paraId="7F176BB7">
      <w:pPr>
        <w:pStyle w:val="24"/>
        <w:rPr>
          <w:rFonts w:hint="default" w:asciiTheme="minorEastAsia" w:hAnsiTheme="minorEastAsia" w:cstheme="minorEastAsia"/>
          <w:b/>
          <w:color w:val="auto"/>
          <w:sz w:val="28"/>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r>
        <w:rPr>
          <w:rFonts w:asciiTheme="minorEastAsia" w:hAnsiTheme="minorEastAsia" w:cstheme="minorEastAsia"/>
          <w:color w:val="auto"/>
          <w:highlight w:val="none"/>
        </w:rPr>
        <w:t xml:space="preserve"> </w:t>
      </w:r>
    </w:p>
    <w:p w14:paraId="2A0FF2A3">
      <w:pPr>
        <w:pStyle w:val="24"/>
        <w:jc w:val="center"/>
        <w:rPr>
          <w:rFonts w:hint="default" w:asciiTheme="minorEastAsia" w:hAnsiTheme="minorEastAsia" w:cstheme="minorEastAsia"/>
          <w:color w:val="auto"/>
          <w:highlight w:val="none"/>
        </w:rPr>
      </w:pPr>
      <w:r>
        <w:rPr>
          <w:rFonts w:asciiTheme="minorEastAsia" w:hAnsiTheme="minorEastAsia" w:cstheme="minorEastAsia"/>
          <w:b/>
          <w:color w:val="auto"/>
          <w:sz w:val="28"/>
          <w:highlight w:val="none"/>
        </w:rPr>
        <w:t>四、投标人提交的其他资料（若有）</w:t>
      </w:r>
    </w:p>
    <w:p w14:paraId="519738F3">
      <w:pPr>
        <w:pStyle w:val="24"/>
        <w:spacing w:line="480" w:lineRule="exact"/>
        <w:ind w:firstLine="482"/>
        <w:jc w:val="center"/>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编制说明</w:t>
      </w:r>
    </w:p>
    <w:p w14:paraId="05F8466B">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1、招标文件要求提交的除“资格及资信证明部分”、“报价部分”外的其他证明材料或资料加盖投标人的单位公章后应在此项下提交。</w:t>
      </w:r>
    </w:p>
    <w:p w14:paraId="48700F5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2、招标文件要求投标人提供方案（包括但不限于：组织、实施、技术、服务方案等）的，投标人应在此项下提交。</w:t>
      </w:r>
    </w:p>
    <w:p w14:paraId="341BB1FF">
      <w:pPr>
        <w:pStyle w:val="24"/>
        <w:spacing w:line="480" w:lineRule="exact"/>
        <w:ind w:firstLine="482"/>
        <w:rPr>
          <w:rFonts w:hint="default" w:asciiTheme="minorEastAsia" w:hAnsiTheme="minorEastAsia" w:cstheme="minorEastAsia"/>
          <w:color w:val="auto"/>
          <w:sz w:val="24"/>
          <w:szCs w:val="24"/>
          <w:highlight w:val="none"/>
        </w:rPr>
      </w:pPr>
      <w:r>
        <w:rPr>
          <w:rFonts w:asciiTheme="minorEastAsia" w:hAnsiTheme="minorEastAsia" w:cstheme="minorEastAsia"/>
          <w:color w:val="auto"/>
          <w:sz w:val="24"/>
          <w:szCs w:val="24"/>
          <w:highlight w:val="none"/>
        </w:rPr>
        <w:t>3、除招标文件另有规定外，投标人认为需要提交的其他证明材料或资料加盖投标人的单位公章后应在此项下提交。</w:t>
      </w:r>
    </w:p>
    <w:p w14:paraId="1EFF9B16">
      <w:pPr>
        <w:pStyle w:val="24"/>
        <w:rPr>
          <w:rFonts w:hint="default" w:asciiTheme="minorEastAsia" w:hAnsiTheme="minorEastAsia" w:cstheme="minorEastAsia"/>
          <w:color w:val="auto"/>
          <w:highlight w:val="none"/>
        </w:rPr>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14:paraId="410D5DEB">
      <w:pPr>
        <w:pStyle w:val="3"/>
        <w:ind w:left="0"/>
        <w:rPr>
          <w:rFonts w:asciiTheme="minorEastAsia" w:hAnsiTheme="minorEastAsia" w:cstheme="minorEastAsia"/>
          <w:color w:val="auto"/>
          <w:sz w:val="36"/>
          <w:szCs w:val="36"/>
          <w:highlight w:val="none"/>
        </w:rPr>
      </w:pPr>
      <w:bookmarkStart w:id="18" w:name="_Toc12784"/>
      <w:bookmarkStart w:id="19" w:name="_Toc391970965"/>
      <w:bookmarkStart w:id="20" w:name="_Toc404338913"/>
      <w:bookmarkStart w:id="21" w:name="_Toc331"/>
      <w:bookmarkStart w:id="22" w:name="_Toc18755"/>
      <w:bookmarkStart w:id="23" w:name="_Toc3496"/>
      <w:r>
        <w:rPr>
          <w:rFonts w:hint="eastAsia" w:asciiTheme="minorEastAsia" w:hAnsiTheme="minorEastAsia" w:cstheme="minorEastAsia"/>
          <w:color w:val="auto"/>
          <w:sz w:val="36"/>
          <w:szCs w:val="36"/>
          <w:highlight w:val="none"/>
        </w:rPr>
        <w:t>第八章 招标相关附件</w:t>
      </w:r>
      <w:bookmarkEnd w:id="18"/>
      <w:bookmarkEnd w:id="19"/>
      <w:bookmarkEnd w:id="20"/>
      <w:bookmarkEnd w:id="21"/>
      <w:bookmarkEnd w:id="22"/>
      <w:bookmarkEnd w:id="23"/>
    </w:p>
    <w:p w14:paraId="34BA599A">
      <w:pPr>
        <w:spacing w:line="360" w:lineRule="auto"/>
        <w:jc w:val="center"/>
        <w:rPr>
          <w:rFonts w:asciiTheme="minorEastAsia" w:hAnsiTheme="minorEastAsia" w:cstheme="minorEastAsia"/>
          <w:color w:val="auto"/>
          <w:highlight w:val="none"/>
        </w:rPr>
      </w:pPr>
    </w:p>
    <w:p w14:paraId="06BDD9C8">
      <w:pPr>
        <w:spacing w:line="360" w:lineRule="auto"/>
        <w:outlineLvl w:val="1"/>
        <w:rPr>
          <w:rFonts w:asciiTheme="minorEastAsia" w:hAnsiTheme="minorEastAsia" w:cstheme="minorEastAsia"/>
          <w:b/>
          <w:color w:val="auto"/>
          <w:sz w:val="24"/>
          <w:highlight w:val="none"/>
        </w:rPr>
      </w:pPr>
      <w:bookmarkStart w:id="24" w:name="附件1：招标文件领取确认函"/>
      <w:bookmarkEnd w:id="24"/>
      <w:bookmarkStart w:id="25" w:name="_Toc404338914"/>
      <w:bookmarkStart w:id="26" w:name="_Toc391970966"/>
      <w:r>
        <w:rPr>
          <w:rFonts w:hint="eastAsia" w:asciiTheme="minorEastAsia" w:hAnsiTheme="minorEastAsia" w:cstheme="minorEastAsia"/>
          <w:b/>
          <w:color w:val="auto"/>
          <w:sz w:val="24"/>
          <w:highlight w:val="none"/>
        </w:rPr>
        <w:br w:type="page"/>
      </w:r>
      <w:bookmarkStart w:id="27" w:name="_Toc26582"/>
      <w:bookmarkStart w:id="28" w:name="_Toc21328"/>
      <w:bookmarkStart w:id="29" w:name="_Toc15925"/>
      <w:bookmarkStart w:id="30" w:name="_Toc17842"/>
      <w:bookmarkStart w:id="31" w:name="_Toc21793"/>
      <w:r>
        <w:rPr>
          <w:rFonts w:hint="eastAsia" w:asciiTheme="minorEastAsia" w:hAnsiTheme="minorEastAsia" w:cstheme="minorEastAsia"/>
          <w:b/>
          <w:color w:val="auto"/>
          <w:sz w:val="24"/>
          <w:highlight w:val="none"/>
        </w:rPr>
        <w:t>附件1：</w:t>
      </w:r>
      <w:bookmarkEnd w:id="25"/>
      <w:bookmarkEnd w:id="26"/>
      <w:bookmarkEnd w:id="27"/>
      <w:bookmarkEnd w:id="28"/>
      <w:bookmarkEnd w:id="29"/>
      <w:bookmarkEnd w:id="30"/>
      <w:bookmarkEnd w:id="31"/>
    </w:p>
    <w:p w14:paraId="6B9E685F">
      <w:pPr>
        <w:pStyle w:val="2"/>
        <w:spacing w:line="480" w:lineRule="exact"/>
        <w:ind w:left="0"/>
        <w:rPr>
          <w:rFonts w:asciiTheme="minorEastAsia" w:hAnsiTheme="minorEastAsia" w:cstheme="minorEastAsia"/>
          <w:color w:val="auto"/>
          <w:sz w:val="36"/>
          <w:szCs w:val="36"/>
          <w:highlight w:val="none"/>
        </w:rPr>
      </w:pPr>
      <w:bookmarkStart w:id="32" w:name="_Toc28554"/>
      <w:bookmarkStart w:id="33" w:name="附件1保证金退还申请函"/>
      <w:bookmarkStart w:id="34" w:name="_Toc2620"/>
      <w:bookmarkStart w:id="35" w:name="_Toc8566"/>
      <w:bookmarkStart w:id="36" w:name="_Toc2790"/>
      <w:bookmarkStart w:id="37" w:name="_Toc29288"/>
      <w:bookmarkStart w:id="38" w:name="_Toc391970967"/>
      <w:bookmarkStart w:id="39" w:name="_Toc404338915"/>
      <w:bookmarkStart w:id="40" w:name="_Toc14805"/>
      <w:bookmarkStart w:id="41" w:name="_Toc8904"/>
      <w:r>
        <w:rPr>
          <w:rFonts w:hint="eastAsia" w:asciiTheme="minorEastAsia" w:hAnsiTheme="minorEastAsia" w:cstheme="minorEastAsia"/>
          <w:color w:val="auto"/>
          <w:sz w:val="36"/>
          <w:szCs w:val="36"/>
          <w:highlight w:val="none"/>
        </w:rPr>
        <w:t>投标保证金退还申请函</w:t>
      </w:r>
      <w:bookmarkEnd w:id="32"/>
      <w:bookmarkEnd w:id="33"/>
      <w:bookmarkEnd w:id="34"/>
      <w:bookmarkEnd w:id="35"/>
    </w:p>
    <w:p w14:paraId="41407A24">
      <w:pPr>
        <w:spacing w:line="480" w:lineRule="exact"/>
        <w:rPr>
          <w:rFonts w:hint="eastAsia" w:asciiTheme="minorEastAsia" w:hAnsiTheme="minorEastAsia" w:eastAsiaTheme="minorEastAsia" w:cstheme="minorEastAsia"/>
          <w:b/>
          <w:color w:val="auto"/>
          <w:sz w:val="24"/>
          <w:highlight w:val="none"/>
          <w:lang w:eastAsia="zh-CN"/>
        </w:rPr>
      </w:pPr>
      <w:r>
        <w:rPr>
          <w:rFonts w:hint="eastAsia" w:asciiTheme="minorEastAsia" w:hAnsiTheme="minorEastAsia" w:cstheme="minorEastAsia"/>
          <w:b/>
          <w:color w:val="auto"/>
          <w:sz w:val="24"/>
          <w:highlight w:val="none"/>
        </w:rPr>
        <w:t>致：</w:t>
      </w:r>
      <w:r>
        <w:rPr>
          <w:rFonts w:hint="eastAsia" w:asciiTheme="minorEastAsia" w:hAnsiTheme="minorEastAsia" w:cstheme="minorEastAsia"/>
          <w:b/>
          <w:color w:val="auto"/>
          <w:sz w:val="24"/>
          <w:highlight w:val="none"/>
          <w:lang w:eastAsia="zh-CN"/>
        </w:rPr>
        <w:t>福建省鸿远招标有限公司</w:t>
      </w:r>
    </w:p>
    <w:p w14:paraId="481EA17B">
      <w:pPr>
        <w:tabs>
          <w:tab w:val="left" w:pos="978"/>
        </w:tabs>
        <w:spacing w:line="480" w:lineRule="exact"/>
        <w:ind w:firstLine="470" w:firstLineChars="196"/>
        <w:rPr>
          <w:rFonts w:asciiTheme="minorEastAsia" w:hAnsiTheme="minorEastAsia" w:cstheme="minorEastAsia"/>
          <w:color w:val="auto"/>
          <w:sz w:val="24"/>
          <w:highlight w:val="none"/>
        </w:rPr>
      </w:pPr>
      <w:r>
        <w:rPr>
          <w:rFonts w:hint="eastAsia" w:asciiTheme="minorEastAsia" w:hAnsiTheme="minorEastAsia" w:cstheme="minorEastAsia"/>
          <w:bCs/>
          <w:color w:val="auto"/>
          <w:sz w:val="24"/>
          <w:highlight w:val="none"/>
        </w:rPr>
        <w:t>我司于</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年</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月</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日参与</w:t>
      </w:r>
      <w:r>
        <w:rPr>
          <w:rFonts w:hint="eastAsia" w:asciiTheme="minorEastAsia" w:hAnsiTheme="minorEastAsia" w:cstheme="minorEastAsia"/>
          <w:bCs/>
          <w:color w:val="auto"/>
          <w:sz w:val="24"/>
          <w:highlight w:val="none"/>
          <w:lang w:eastAsia="zh-CN"/>
        </w:rPr>
        <w:t>福建省鸿远招标有限公司</w:t>
      </w:r>
      <w:r>
        <w:rPr>
          <w:rFonts w:hint="eastAsia" w:asciiTheme="minorEastAsia" w:hAnsiTheme="minorEastAsia" w:cstheme="minorEastAsia"/>
          <w:bCs/>
          <w:color w:val="auto"/>
          <w:sz w:val="24"/>
          <w:highlight w:val="none"/>
        </w:rPr>
        <w:t>组织开标的招标编号为：</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的（项目名称：</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 xml:space="preserve"> </w:t>
      </w:r>
      <w:r>
        <w:rPr>
          <w:rFonts w:hint="eastAsia" w:asciiTheme="minorEastAsia" w:hAnsiTheme="minorEastAsia" w:cstheme="minorEastAsia"/>
          <w:bCs/>
          <w:color w:val="auto"/>
          <w:sz w:val="24"/>
          <w:highlight w:val="none"/>
          <w:lang w:eastAsia="zh-CN"/>
        </w:rPr>
        <w:t>采购包</w:t>
      </w:r>
      <w:r>
        <w:rPr>
          <w:rFonts w:hint="eastAsia" w:asciiTheme="minorEastAsia" w:hAnsiTheme="minorEastAsia" w:cstheme="minorEastAsia"/>
          <w:bCs/>
          <w:color w:val="auto"/>
          <w:sz w:val="24"/>
          <w:highlight w:val="none"/>
          <w:u w:val="single"/>
        </w:rPr>
        <w:t xml:space="preserve">          </w:t>
      </w:r>
      <w:r>
        <w:rPr>
          <w:rFonts w:hint="eastAsia" w:asciiTheme="minorEastAsia" w:hAnsiTheme="minorEastAsia" w:cstheme="minorEastAsia"/>
          <w:bCs/>
          <w:color w:val="auto"/>
          <w:sz w:val="24"/>
          <w:highlight w:val="none"/>
        </w:rPr>
        <w:t>）投标，</w:t>
      </w:r>
      <w:r>
        <w:rPr>
          <w:rFonts w:hint="eastAsia" w:asciiTheme="minorEastAsia" w:hAnsiTheme="minorEastAsia" w:cstheme="minorEastAsia"/>
          <w:color w:val="auto"/>
          <w:sz w:val="24"/>
          <w:highlight w:val="none"/>
        </w:rPr>
        <w:t>我司于</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年</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 xml:space="preserve">月 </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日 以</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(同城转帐、异城电汇)形式向</w:t>
      </w:r>
      <w:r>
        <w:rPr>
          <w:rFonts w:hint="eastAsia" w:asciiTheme="minorEastAsia" w:hAnsiTheme="minorEastAsia" w:cstheme="minorEastAsia"/>
          <w:color w:val="auto"/>
          <w:sz w:val="24"/>
          <w:highlight w:val="none"/>
          <w:lang w:eastAsia="zh-CN"/>
        </w:rPr>
        <w:t>福建省鸿远招标有限公司</w:t>
      </w:r>
      <w:r>
        <w:rPr>
          <w:rFonts w:hint="eastAsia" w:asciiTheme="minorEastAsia" w:hAnsiTheme="minorEastAsia" w:cstheme="minorEastAsia"/>
          <w:color w:val="auto"/>
          <w:sz w:val="24"/>
          <w:highlight w:val="none"/>
        </w:rPr>
        <w:t>账户缴纳投标保证金（大写</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元）（小写￥</w:t>
      </w:r>
      <w:r>
        <w:rPr>
          <w:rFonts w:hint="eastAsia" w:asciiTheme="minorEastAsia" w:hAnsiTheme="minorEastAsia" w:cstheme="minorEastAsia"/>
          <w:color w:val="auto"/>
          <w:sz w:val="24"/>
          <w:highlight w:val="none"/>
          <w:u w:val="single"/>
        </w:rPr>
        <w:t xml:space="preserve">      </w:t>
      </w:r>
      <w:r>
        <w:rPr>
          <w:rFonts w:hint="eastAsia" w:asciiTheme="minorEastAsia" w:hAnsiTheme="minorEastAsia" w:cstheme="minorEastAsia"/>
          <w:color w:val="auto"/>
          <w:sz w:val="24"/>
          <w:highlight w:val="none"/>
        </w:rPr>
        <w:t>元），当可退回时，请退回到我司以下账户：</w:t>
      </w:r>
    </w:p>
    <w:p w14:paraId="61961C6A">
      <w:pPr>
        <w:spacing w:line="480" w:lineRule="exact"/>
        <w:ind w:firstLine="420"/>
        <w:rPr>
          <w:rFonts w:asciiTheme="minorEastAsia" w:hAnsiTheme="minorEastAsia" w:cstheme="minorEastAsia"/>
          <w:b/>
          <w:color w:val="auto"/>
          <w:sz w:val="24"/>
          <w:highlight w:val="none"/>
        </w:rPr>
      </w:pPr>
    </w:p>
    <w:p w14:paraId="2553D348">
      <w:pPr>
        <w:spacing w:line="480" w:lineRule="exact"/>
        <w:ind w:firstLine="420"/>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开户名：</w:t>
      </w:r>
      <w:r>
        <w:rPr>
          <w:rFonts w:hint="eastAsia" w:asciiTheme="minorEastAsia" w:hAnsiTheme="minorEastAsia" w:cstheme="minorEastAsia"/>
          <w:b/>
          <w:color w:val="auto"/>
          <w:sz w:val="24"/>
          <w:highlight w:val="none"/>
          <w:u w:val="single"/>
        </w:rPr>
        <w:t xml:space="preserve">                              </w:t>
      </w:r>
      <w:r>
        <w:rPr>
          <w:rFonts w:hint="eastAsia" w:asciiTheme="minorEastAsia" w:hAnsiTheme="minorEastAsia" w:cstheme="minorEastAsia"/>
          <w:b/>
          <w:color w:val="auto"/>
          <w:sz w:val="24"/>
          <w:highlight w:val="none"/>
        </w:rPr>
        <w:t xml:space="preserve">     </w:t>
      </w:r>
    </w:p>
    <w:p w14:paraId="54840E24">
      <w:pPr>
        <w:spacing w:line="480" w:lineRule="exact"/>
        <w:ind w:firstLine="420"/>
        <w:rPr>
          <w:rFonts w:asciiTheme="minorEastAsia" w:hAnsiTheme="minorEastAsia" w:cstheme="minorEastAsia"/>
          <w:b/>
          <w:color w:val="auto"/>
          <w:sz w:val="24"/>
          <w:highlight w:val="none"/>
          <w:u w:val="single"/>
        </w:rPr>
      </w:pPr>
      <w:r>
        <w:rPr>
          <w:rFonts w:hint="eastAsia" w:asciiTheme="minorEastAsia" w:hAnsiTheme="minorEastAsia" w:cstheme="minorEastAsia"/>
          <w:b/>
          <w:color w:val="auto"/>
          <w:sz w:val="24"/>
          <w:highlight w:val="none"/>
        </w:rPr>
        <w:t>开户行：</w:t>
      </w:r>
      <w:r>
        <w:rPr>
          <w:rFonts w:hint="eastAsia" w:asciiTheme="minorEastAsia" w:hAnsiTheme="minorEastAsia" w:cstheme="minorEastAsia"/>
          <w:b/>
          <w:color w:val="auto"/>
          <w:sz w:val="24"/>
          <w:highlight w:val="none"/>
          <w:u w:val="single"/>
        </w:rPr>
        <w:t xml:space="preserve">                              </w:t>
      </w:r>
    </w:p>
    <w:p w14:paraId="0B874FDA">
      <w:pPr>
        <w:spacing w:line="480" w:lineRule="exact"/>
        <w:ind w:firstLine="420"/>
        <w:rPr>
          <w:rFonts w:asciiTheme="minorEastAsia" w:hAnsiTheme="minorEastAsia" w:cstheme="minorEastAsia"/>
          <w:b/>
          <w:color w:val="auto"/>
          <w:sz w:val="24"/>
          <w:highlight w:val="none"/>
          <w:u w:val="single"/>
        </w:rPr>
      </w:pPr>
      <w:r>
        <w:rPr>
          <w:rFonts w:hint="eastAsia" w:asciiTheme="minorEastAsia" w:hAnsiTheme="minorEastAsia" w:cstheme="minorEastAsia"/>
          <w:b/>
          <w:color w:val="auto"/>
          <w:sz w:val="24"/>
          <w:highlight w:val="none"/>
        </w:rPr>
        <w:t xml:space="preserve">账 号： </w:t>
      </w:r>
      <w:r>
        <w:rPr>
          <w:rFonts w:hint="eastAsia" w:asciiTheme="minorEastAsia" w:hAnsiTheme="minorEastAsia" w:cstheme="minorEastAsia"/>
          <w:b/>
          <w:color w:val="auto"/>
          <w:sz w:val="24"/>
          <w:highlight w:val="none"/>
          <w:u w:val="single"/>
        </w:rPr>
        <w:t xml:space="preserve">                              </w:t>
      </w:r>
    </w:p>
    <w:p w14:paraId="2B022084">
      <w:pPr>
        <w:spacing w:line="480" w:lineRule="exact"/>
        <w:ind w:firstLine="420"/>
        <w:rPr>
          <w:rFonts w:asciiTheme="minorEastAsia" w:hAnsiTheme="minorEastAsia" w:cstheme="minorEastAsia"/>
          <w:b/>
          <w:color w:val="auto"/>
          <w:sz w:val="24"/>
          <w:highlight w:val="none"/>
          <w:u w:val="single"/>
        </w:rPr>
      </w:pPr>
      <w:r>
        <w:rPr>
          <w:rFonts w:hint="eastAsia" w:asciiTheme="minorEastAsia" w:hAnsiTheme="minorEastAsia" w:cstheme="minorEastAsia"/>
          <w:b/>
          <w:color w:val="auto"/>
          <w:sz w:val="24"/>
          <w:highlight w:val="none"/>
        </w:rPr>
        <w:t>公司所在地：</w:t>
      </w:r>
      <w:r>
        <w:rPr>
          <w:rFonts w:hint="eastAsia" w:asciiTheme="minorEastAsia" w:hAnsiTheme="minorEastAsia" w:cstheme="minorEastAsia"/>
          <w:b/>
          <w:color w:val="auto"/>
          <w:sz w:val="24"/>
          <w:highlight w:val="none"/>
          <w:u w:val="single"/>
        </w:rPr>
        <w:t xml:space="preserve">      省       市       县 </w:t>
      </w:r>
    </w:p>
    <w:p w14:paraId="3835CCF7">
      <w:pPr>
        <w:spacing w:line="480" w:lineRule="exact"/>
        <w:ind w:firstLine="420"/>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投标代表：</w:t>
      </w:r>
      <w:r>
        <w:rPr>
          <w:rFonts w:hint="eastAsia" w:asciiTheme="minorEastAsia" w:hAnsiTheme="minorEastAsia" w:cstheme="minorEastAsia"/>
          <w:b/>
          <w:color w:val="auto"/>
          <w:sz w:val="24"/>
          <w:highlight w:val="none"/>
          <w:u w:val="single"/>
        </w:rPr>
        <w:t xml:space="preserve">           </w:t>
      </w:r>
      <w:r>
        <w:rPr>
          <w:rFonts w:hint="eastAsia" w:asciiTheme="minorEastAsia" w:hAnsiTheme="minorEastAsia" w:cstheme="minorEastAsia"/>
          <w:b/>
          <w:color w:val="auto"/>
          <w:sz w:val="24"/>
          <w:highlight w:val="none"/>
        </w:rPr>
        <w:t>联系电话：</w:t>
      </w:r>
      <w:r>
        <w:rPr>
          <w:rFonts w:hint="eastAsia" w:asciiTheme="minorEastAsia" w:hAnsiTheme="minorEastAsia" w:cstheme="minorEastAsia"/>
          <w:b/>
          <w:color w:val="auto"/>
          <w:sz w:val="24"/>
          <w:highlight w:val="none"/>
          <w:u w:val="single"/>
        </w:rPr>
        <w:t xml:space="preserve">          </w:t>
      </w:r>
      <w:r>
        <w:rPr>
          <w:rFonts w:hint="eastAsia" w:asciiTheme="minorEastAsia" w:hAnsiTheme="minorEastAsia" w:cstheme="minorEastAsia"/>
          <w:b/>
          <w:color w:val="auto"/>
          <w:sz w:val="24"/>
          <w:highlight w:val="none"/>
        </w:rPr>
        <w:t>（手机）</w:t>
      </w:r>
      <w:r>
        <w:rPr>
          <w:rFonts w:hint="eastAsia" w:asciiTheme="minorEastAsia" w:hAnsiTheme="minorEastAsia" w:cstheme="minorEastAsia"/>
          <w:b/>
          <w:color w:val="auto"/>
          <w:sz w:val="24"/>
          <w:highlight w:val="none"/>
          <w:u w:val="single"/>
        </w:rPr>
        <w:t xml:space="preserve">         </w:t>
      </w:r>
      <w:r>
        <w:rPr>
          <w:rFonts w:hint="eastAsia" w:asciiTheme="minorEastAsia" w:hAnsiTheme="minorEastAsia" w:cstheme="minorEastAsia"/>
          <w:b/>
          <w:color w:val="auto"/>
          <w:sz w:val="24"/>
          <w:highlight w:val="none"/>
        </w:rPr>
        <w:t>（固话）</w:t>
      </w:r>
    </w:p>
    <w:p w14:paraId="4AAB8900">
      <w:pPr>
        <w:spacing w:line="480" w:lineRule="exact"/>
        <w:ind w:firstLine="420"/>
        <w:rPr>
          <w:rFonts w:asciiTheme="minorEastAsia" w:hAnsiTheme="minorEastAsia" w:cstheme="minorEastAsia"/>
          <w:b/>
          <w:color w:val="auto"/>
          <w:sz w:val="24"/>
          <w:highlight w:val="none"/>
          <w:u w:val="single"/>
        </w:rPr>
      </w:pPr>
      <w:r>
        <w:rPr>
          <w:rFonts w:hint="eastAsia" w:asciiTheme="minorEastAsia" w:hAnsiTheme="minorEastAsia" w:cstheme="minorEastAsia"/>
          <w:b/>
          <w:color w:val="auto"/>
          <w:sz w:val="24"/>
          <w:highlight w:val="none"/>
        </w:rPr>
        <w:t>投标人名称（盖公司公章）：</w:t>
      </w:r>
      <w:r>
        <w:rPr>
          <w:rFonts w:hint="eastAsia" w:asciiTheme="minorEastAsia" w:hAnsiTheme="minorEastAsia" w:cstheme="minorEastAsia"/>
          <w:b/>
          <w:color w:val="auto"/>
          <w:sz w:val="24"/>
          <w:highlight w:val="none"/>
          <w:u w:val="single"/>
        </w:rPr>
        <w:t xml:space="preserve">                  </w:t>
      </w:r>
    </w:p>
    <w:p w14:paraId="349D5556">
      <w:pPr>
        <w:spacing w:line="480" w:lineRule="exact"/>
        <w:rPr>
          <w:rFonts w:asciiTheme="minorEastAsia" w:hAnsiTheme="minorEastAsia" w:cstheme="minorEastAsia"/>
          <w:b/>
          <w:color w:val="auto"/>
          <w:sz w:val="24"/>
          <w:highlight w:val="none"/>
          <w:u w:val="single"/>
        </w:rPr>
      </w:pPr>
    </w:p>
    <w:p w14:paraId="13AD7F6C">
      <w:pPr>
        <w:spacing w:line="480" w:lineRule="exact"/>
        <w:ind w:firstLine="420"/>
        <w:rPr>
          <w:rFonts w:asciiTheme="minorEastAsia" w:hAnsiTheme="minorEastAsia" w:cstheme="minorEastAsia"/>
          <w:b/>
          <w:color w:val="auto"/>
          <w:sz w:val="24"/>
          <w:highlight w:val="none"/>
          <w:u w:val="single"/>
        </w:rPr>
      </w:pPr>
      <w:r>
        <w:rPr>
          <w:rFonts w:hint="eastAsia" w:asciiTheme="minorEastAsia" w:hAnsiTheme="minorEastAsia" w:cstheme="minorEastAsia"/>
          <w:b/>
          <w:color w:val="auto"/>
          <w:sz w:val="24"/>
          <w:highlight w:val="none"/>
          <w:u w:val="single"/>
        </w:rPr>
        <w:t>附：汇款凭证、开户许可证</w:t>
      </w:r>
    </w:p>
    <w:p w14:paraId="1087AED7">
      <w:pPr>
        <w:spacing w:line="480" w:lineRule="exact"/>
        <w:rPr>
          <w:rFonts w:asciiTheme="minorEastAsia" w:hAnsiTheme="minorEastAsia" w:cstheme="minorEastAsia"/>
          <w:color w:val="auto"/>
          <w:sz w:val="24"/>
          <w:highlight w:val="none"/>
        </w:rPr>
      </w:pPr>
    </w:p>
    <w:p w14:paraId="1010978D">
      <w:pPr>
        <w:widowControl/>
        <w:spacing w:line="480" w:lineRule="exact"/>
        <w:jc w:val="left"/>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注意事项：</w:t>
      </w:r>
    </w:p>
    <w:p w14:paraId="7D998DF8">
      <w:pPr>
        <w:widowControl/>
        <w:spacing w:line="480" w:lineRule="exact"/>
        <w:ind w:left="840"/>
        <w:jc w:val="left"/>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1、以上内容应详细填写，不可简化；</w:t>
      </w:r>
    </w:p>
    <w:p w14:paraId="618F216B">
      <w:pPr>
        <w:spacing w:line="480" w:lineRule="exact"/>
        <w:jc w:val="left"/>
        <w:outlineLvl w:val="1"/>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 xml:space="preserve">       </w:t>
      </w:r>
      <w:bookmarkStart w:id="42" w:name="_Toc19324"/>
      <w:r>
        <w:rPr>
          <w:rFonts w:hint="eastAsia" w:asciiTheme="minorEastAsia" w:hAnsiTheme="minorEastAsia" w:cstheme="minorEastAsia"/>
          <w:b/>
          <w:color w:val="auto"/>
          <w:sz w:val="24"/>
          <w:highlight w:val="none"/>
          <w:lang w:val="en-US" w:eastAsia="zh-CN"/>
        </w:rPr>
        <w:t>2</w:t>
      </w:r>
      <w:r>
        <w:rPr>
          <w:rFonts w:hint="eastAsia" w:asciiTheme="minorEastAsia" w:hAnsiTheme="minorEastAsia" w:cstheme="minorEastAsia"/>
          <w:b/>
          <w:color w:val="auto"/>
          <w:sz w:val="24"/>
          <w:highlight w:val="none"/>
        </w:rPr>
        <w:t>、未能及时缴交本表以及填写相关信息而致未能及时退还投标保证金的，</w:t>
      </w:r>
      <w:r>
        <w:rPr>
          <w:rFonts w:hint="eastAsia" w:asciiTheme="minorEastAsia" w:hAnsiTheme="minorEastAsia" w:cstheme="minorEastAsia"/>
          <w:b/>
          <w:color w:val="auto"/>
          <w:sz w:val="24"/>
          <w:highlight w:val="none"/>
          <w:lang w:eastAsia="zh-CN"/>
        </w:rPr>
        <w:t>福建省鸿远招标有限公司</w:t>
      </w:r>
      <w:r>
        <w:rPr>
          <w:rFonts w:hint="eastAsia" w:asciiTheme="minorEastAsia" w:hAnsiTheme="minorEastAsia" w:cstheme="minorEastAsia"/>
          <w:b/>
          <w:color w:val="auto"/>
          <w:sz w:val="24"/>
          <w:highlight w:val="none"/>
        </w:rPr>
        <w:t>将不负法律与经济责任。</w:t>
      </w:r>
      <w:bookmarkEnd w:id="42"/>
    </w:p>
    <w:bookmarkEnd w:id="36"/>
    <w:bookmarkEnd w:id="37"/>
    <w:bookmarkEnd w:id="38"/>
    <w:bookmarkEnd w:id="39"/>
    <w:bookmarkEnd w:id="40"/>
    <w:bookmarkEnd w:id="41"/>
    <w:p w14:paraId="798621CA">
      <w:pPr>
        <w:spacing w:line="360" w:lineRule="auto"/>
        <w:rPr>
          <w:rFonts w:asciiTheme="minorEastAsia" w:hAnsiTheme="minorEastAsia" w:cstheme="minorEastAsia"/>
          <w:b/>
          <w:color w:val="auto"/>
          <w:sz w:val="24"/>
          <w:highlight w:val="none"/>
        </w:rPr>
      </w:pPr>
      <w:bookmarkStart w:id="43" w:name="_Toc404338918"/>
      <w:bookmarkStart w:id="44" w:name="_Toc391970970"/>
    </w:p>
    <w:p w14:paraId="0D37F0A0">
      <w:pPr>
        <w:spacing w:line="360" w:lineRule="auto"/>
        <w:jc w:val="left"/>
        <w:outlineLvl w:val="1"/>
        <w:rPr>
          <w:rFonts w:asciiTheme="minorEastAsia" w:hAnsiTheme="minorEastAsia" w:cstheme="minorEastAsia"/>
          <w:b/>
          <w:color w:val="auto"/>
          <w:sz w:val="24"/>
          <w:highlight w:val="none"/>
        </w:rPr>
        <w:sectPr>
          <w:headerReference r:id="rId5" w:type="default"/>
          <w:pgSz w:w="11907" w:h="16840"/>
          <w:pgMar w:top="1440" w:right="1080" w:bottom="1440" w:left="1080" w:header="624" w:footer="737" w:gutter="0"/>
          <w:pgBorders>
            <w:top w:val="none" w:sz="0" w:space="0"/>
            <w:left w:val="none" w:sz="0" w:space="0"/>
            <w:bottom w:val="none" w:sz="0" w:space="0"/>
            <w:right w:val="none" w:sz="0" w:space="0"/>
          </w:pgBorders>
          <w:cols w:space="720" w:num="1"/>
          <w:docGrid w:linePitch="323" w:charSpace="-2"/>
        </w:sectPr>
      </w:pPr>
      <w:bookmarkStart w:id="45" w:name="_Toc8622"/>
      <w:bookmarkStart w:id="46" w:name="_Toc32117"/>
      <w:bookmarkStart w:id="47" w:name="_Toc8733"/>
      <w:bookmarkStart w:id="48" w:name="_Toc21279"/>
    </w:p>
    <w:p w14:paraId="3EE90D25">
      <w:pPr>
        <w:rPr>
          <w:rFonts w:hint="eastAsia" w:asciiTheme="minorEastAsia" w:hAnsiTheme="minorEastAsia" w:cstheme="minorEastAsia"/>
          <w:b/>
          <w:color w:val="auto"/>
          <w:sz w:val="24"/>
          <w:highlight w:val="none"/>
          <w:lang w:val="en-US" w:eastAsia="zh-CN"/>
        </w:rPr>
      </w:pPr>
      <w:bookmarkStart w:id="49" w:name="_Toc17385"/>
      <w:r>
        <w:rPr>
          <w:rFonts w:hint="eastAsia" w:asciiTheme="minorEastAsia" w:hAnsiTheme="minorEastAsia" w:cstheme="minorEastAsia"/>
          <w:b/>
          <w:color w:val="auto"/>
          <w:sz w:val="24"/>
          <w:highlight w:val="none"/>
          <w:lang w:val="en-US" w:eastAsia="zh-CN"/>
        </w:rPr>
        <w:t>附件2：</w:t>
      </w:r>
    </w:p>
    <w:p w14:paraId="3C40FF98">
      <w:pPr>
        <w:pStyle w:val="2"/>
        <w:pageBreakBefore w:val="0"/>
        <w:widowControl w:val="0"/>
        <w:kinsoku/>
        <w:wordWrap/>
        <w:overflowPunct/>
        <w:topLinePunct w:val="0"/>
        <w:autoSpaceDE/>
        <w:autoSpaceDN/>
        <w:bidi w:val="0"/>
        <w:adjustRightInd/>
        <w:snapToGrid/>
        <w:spacing w:before="0" w:after="0" w:line="360" w:lineRule="auto"/>
        <w:ind w:left="0"/>
        <w:jc w:val="center"/>
        <w:textAlignment w:val="auto"/>
        <w:rPr>
          <w:rFonts w:hint="eastAsia" w:ascii="宋体" w:hAnsi="宋体" w:eastAsia="宋体" w:cs="宋体"/>
          <w:sz w:val="24"/>
          <w:szCs w:val="24"/>
        </w:rPr>
      </w:pPr>
      <w:r>
        <w:rPr>
          <w:rFonts w:hint="eastAsia" w:ascii="宋体" w:hAnsi="宋体" w:eastAsia="宋体" w:cs="宋体"/>
          <w:sz w:val="32"/>
          <w:szCs w:val="32"/>
          <w:lang w:val="en-US" w:eastAsia="zh-CN"/>
        </w:rPr>
        <w:t>福建省</w:t>
      </w:r>
      <w:r>
        <w:rPr>
          <w:rFonts w:hint="eastAsia" w:ascii="宋体" w:hAnsi="宋体" w:eastAsia="宋体" w:cs="宋体"/>
          <w:sz w:val="32"/>
          <w:szCs w:val="32"/>
        </w:rPr>
        <w:t>政府采购供应商资格承诺函</w:t>
      </w:r>
    </w:p>
    <w:p w14:paraId="318BC48B">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r>
        <w:rPr>
          <w:rFonts w:hint="eastAsia" w:ascii="宋体" w:hAnsi="宋体" w:eastAsia="宋体" w:cs="宋体"/>
          <w:sz w:val="24"/>
          <w:szCs w:val="24"/>
        </w:rPr>
        <w:t>致(采购人或政府采购代理机构):</w:t>
      </w:r>
    </w:p>
    <w:p w14:paraId="20F3E401">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r>
        <w:rPr>
          <w:rFonts w:hint="eastAsia" w:ascii="宋体" w:hAnsi="宋体" w:eastAsia="宋体" w:cs="宋体"/>
          <w:sz w:val="24"/>
          <w:szCs w:val="24"/>
        </w:rPr>
        <w:t>单位名称(自然人姓名):</w:t>
      </w:r>
    </w:p>
    <w:p w14:paraId="62B76DC4">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r>
        <w:rPr>
          <w:rFonts w:hint="eastAsia" w:ascii="宋体" w:hAnsi="宋体" w:eastAsia="宋体" w:cs="宋体"/>
          <w:sz w:val="24"/>
          <w:szCs w:val="24"/>
        </w:rPr>
        <w:t>统一社会信用代码(身份证号码):</w:t>
      </w:r>
    </w:p>
    <w:p w14:paraId="6AE8384D">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r>
        <w:rPr>
          <w:rFonts w:hint="eastAsia" w:ascii="宋体" w:hAnsi="宋体" w:eastAsia="宋体" w:cs="宋体"/>
          <w:sz w:val="24"/>
          <w:szCs w:val="24"/>
        </w:rPr>
        <w:t>法定代表人(负责人):</w:t>
      </w:r>
    </w:p>
    <w:p w14:paraId="3B14928E">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r>
        <w:rPr>
          <w:rFonts w:hint="eastAsia" w:ascii="宋体" w:hAnsi="宋体" w:eastAsia="宋体" w:cs="宋体"/>
          <w:sz w:val="24"/>
          <w:szCs w:val="24"/>
        </w:rPr>
        <w:t>联系地址和电话:</w:t>
      </w:r>
    </w:p>
    <w:p w14:paraId="588D7238">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p>
    <w:p w14:paraId="7592AE0B">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我单位(本人)自愿参加本次政府采购活动，严格遵守《中华人民共和国政府采购法》及相关法律法规，坚守公开、公平公正和诚实信用等原则，依法诚信经营，并郑重承诺:</w:t>
      </w:r>
    </w:p>
    <w:p w14:paraId="6732DE33">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一、我单位(本人)</w:t>
      </w:r>
      <w:r>
        <w:rPr>
          <w:rFonts w:hint="eastAsia" w:ascii="宋体" w:hAnsi="宋体" w:eastAsia="宋体" w:cs="宋体"/>
          <w:sz w:val="24"/>
          <w:szCs w:val="24"/>
          <w:lang w:val="en-US" w:eastAsia="zh-CN"/>
        </w:rPr>
        <w:t>具备</w:t>
      </w:r>
      <w:r>
        <w:rPr>
          <w:rFonts w:hint="eastAsia" w:ascii="宋体" w:hAnsi="宋体" w:eastAsia="宋体" w:cs="宋体"/>
          <w:sz w:val="24"/>
          <w:szCs w:val="24"/>
        </w:rPr>
        <w:t>采购文件要求以及《中华人民共和国政府采购法》第二十二条规定的条件:</w:t>
      </w:r>
    </w:p>
    <w:p w14:paraId="7C6C58B5">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1.具有独立承担民事责任的能力;</w:t>
      </w:r>
    </w:p>
    <w:p w14:paraId="35A371CD">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2.具有良好的商业信誉和健全的财务会计制度;</w:t>
      </w:r>
    </w:p>
    <w:p w14:paraId="2184D6B2">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3.具有履行合同所必需的设备和专业技术能力;</w:t>
      </w:r>
    </w:p>
    <w:p w14:paraId="1F5EC2CD">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4.有依法缴纳税收和社会保障资金的良好记录;</w:t>
      </w:r>
    </w:p>
    <w:p w14:paraId="37C46DC8">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5.参加政府采购活动前三年内，在经营活动中没有重大违法记录</w:t>
      </w:r>
      <w:r>
        <w:rPr>
          <w:rFonts w:hint="eastAsia" w:ascii="宋体" w:hAnsi="宋体" w:eastAsia="宋体" w:cs="宋体"/>
          <w:sz w:val="24"/>
          <w:szCs w:val="24"/>
          <w:lang w:eastAsia="zh-CN"/>
        </w:rPr>
        <w:t>；</w:t>
      </w:r>
    </w:p>
    <w:p w14:paraId="5051330A">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法律、行政法规规定的其他条件。</w:t>
      </w:r>
    </w:p>
    <w:p w14:paraId="0D72E39A">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4CB3DCAB">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w:t>
      </w:r>
      <w:r>
        <w:rPr>
          <w:rFonts w:hint="eastAsia" w:ascii="宋体" w:hAnsi="宋体" w:eastAsia="宋体" w:cs="宋体"/>
          <w:sz w:val="24"/>
          <w:szCs w:val="24"/>
          <w:lang w:eastAsia="zh-CN"/>
        </w:rPr>
        <w:t>和政府采购法律法规有关</w:t>
      </w:r>
      <w:r>
        <w:rPr>
          <w:rFonts w:hint="eastAsia" w:ascii="宋体" w:hAnsi="宋体" w:eastAsia="宋体" w:cs="宋体"/>
          <w:sz w:val="24"/>
          <w:szCs w:val="24"/>
          <w:lang w:val="en-US" w:eastAsia="zh-CN"/>
        </w:rPr>
        <w:t>规定</w:t>
      </w:r>
      <w:r>
        <w:rPr>
          <w:rFonts w:hint="eastAsia" w:ascii="宋体" w:hAnsi="宋体" w:eastAsia="宋体" w:cs="宋体"/>
          <w:sz w:val="24"/>
          <w:szCs w:val="24"/>
        </w:rPr>
        <w:t>处理。</w:t>
      </w:r>
    </w:p>
    <w:p w14:paraId="16DABA30">
      <w:pPr>
        <w:pageBreakBefore w:val="0"/>
        <w:widowControl w:val="0"/>
        <w:kinsoku/>
        <w:wordWrap/>
        <w:overflowPunct/>
        <w:topLinePunct w:val="0"/>
        <w:autoSpaceDE/>
        <w:autoSpaceDN/>
        <w:bidi w:val="0"/>
        <w:adjustRightInd/>
        <w:snapToGrid/>
        <w:spacing w:line="360" w:lineRule="auto"/>
        <w:ind w:left="0"/>
        <w:textAlignment w:val="auto"/>
        <w:rPr>
          <w:rFonts w:hint="eastAsia" w:ascii="宋体" w:hAnsi="宋体" w:eastAsia="宋体" w:cs="宋体"/>
          <w:sz w:val="24"/>
          <w:szCs w:val="24"/>
        </w:rPr>
      </w:pPr>
    </w:p>
    <w:p w14:paraId="6DEB7748">
      <w:pPr>
        <w:pageBreakBefore w:val="0"/>
        <w:widowControl w:val="0"/>
        <w:kinsoku/>
        <w:wordWrap/>
        <w:overflowPunct/>
        <w:topLinePunct w:val="0"/>
        <w:autoSpaceDE/>
        <w:autoSpaceDN/>
        <w:bidi w:val="0"/>
        <w:adjustRightInd/>
        <w:snapToGrid/>
        <w:spacing w:line="360" w:lineRule="auto"/>
        <w:ind w:left="0" w:firstLine="2640" w:firstLineChars="1100"/>
        <w:textAlignment w:val="auto"/>
        <w:rPr>
          <w:rFonts w:hint="eastAsia" w:ascii="宋体" w:hAnsi="宋体" w:eastAsia="宋体" w:cs="宋体"/>
          <w:sz w:val="24"/>
          <w:szCs w:val="24"/>
        </w:rPr>
      </w:pPr>
      <w:r>
        <w:rPr>
          <w:rFonts w:hint="eastAsia" w:ascii="宋体" w:hAnsi="宋体" w:eastAsia="宋体" w:cs="宋体"/>
          <w:sz w:val="24"/>
          <w:szCs w:val="24"/>
        </w:rPr>
        <w:t>供应商名称(单位公章):</w:t>
      </w:r>
    </w:p>
    <w:p w14:paraId="0EA8547E">
      <w:pPr>
        <w:pageBreakBefore w:val="0"/>
        <w:widowControl w:val="0"/>
        <w:kinsoku/>
        <w:wordWrap/>
        <w:overflowPunct/>
        <w:topLinePunct w:val="0"/>
        <w:autoSpaceDE/>
        <w:autoSpaceDN/>
        <w:bidi w:val="0"/>
        <w:adjustRightInd/>
        <w:snapToGrid/>
        <w:spacing w:line="360" w:lineRule="auto"/>
        <w:ind w:left="0" w:firstLine="2640" w:firstLineChars="11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月   </w:t>
      </w:r>
      <w:r>
        <w:rPr>
          <w:rFonts w:hint="eastAsia" w:ascii="宋体" w:hAnsi="宋体" w:eastAsia="宋体" w:cs="宋体"/>
          <w:sz w:val="24"/>
          <w:szCs w:val="24"/>
        </w:rPr>
        <w:t>日</w:t>
      </w:r>
    </w:p>
    <w:p w14:paraId="4B37B179">
      <w:pPr>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宋体" w:hAnsi="宋体" w:eastAsia="宋体" w:cs="宋体"/>
          <w:sz w:val="24"/>
          <w:szCs w:val="24"/>
        </w:rPr>
      </w:pPr>
    </w:p>
    <w:p w14:paraId="7907313C">
      <w:pPr>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宋体" w:hAnsi="宋体" w:eastAsia="宋体" w:cs="宋体"/>
          <w:sz w:val="24"/>
          <w:szCs w:val="24"/>
        </w:rPr>
      </w:pPr>
    </w:p>
    <w:p w14:paraId="46E5075E">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w:t>
      </w:r>
    </w:p>
    <w:p w14:paraId="230F0F1C">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eastAsia="zh-CN"/>
        </w:rPr>
      </w:pPr>
      <w:r>
        <w:rPr>
          <w:rFonts w:hint="eastAsia" w:ascii="宋体" w:hAnsi="宋体" w:eastAsia="宋体" w:cs="宋体"/>
          <w:sz w:val="24"/>
          <w:szCs w:val="24"/>
        </w:rPr>
        <w:t>1.我单位(本人)专指参加政府采购活动的供应商(含自然人)</w:t>
      </w:r>
      <w:r>
        <w:rPr>
          <w:rFonts w:hint="eastAsia" w:ascii="宋体" w:hAnsi="宋体" w:eastAsia="宋体" w:cs="宋体"/>
          <w:sz w:val="24"/>
          <w:szCs w:val="24"/>
          <w:lang w:eastAsia="zh-CN"/>
        </w:rPr>
        <w:t>；</w:t>
      </w:r>
    </w:p>
    <w:p w14:paraId="29E292BF">
      <w:pPr>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2.</w:t>
      </w:r>
      <w:r>
        <w:rPr>
          <w:rFonts w:hint="eastAsia" w:ascii="宋体" w:hAnsi="宋体" w:eastAsia="宋体" w:cs="宋体"/>
          <w:sz w:val="24"/>
          <w:szCs w:val="24"/>
          <w:lang w:eastAsia="zh-CN"/>
        </w:rPr>
        <w:t>资格承诺的</w:t>
      </w:r>
      <w:r>
        <w:rPr>
          <w:rFonts w:hint="eastAsia" w:ascii="宋体" w:hAnsi="宋体" w:eastAsia="宋体" w:cs="宋体"/>
          <w:sz w:val="24"/>
          <w:szCs w:val="24"/>
        </w:rPr>
        <w:t>供应商</w:t>
      </w:r>
      <w:r>
        <w:rPr>
          <w:rFonts w:hint="eastAsia" w:ascii="宋体" w:hAnsi="宋体" w:eastAsia="宋体" w:cs="宋体"/>
          <w:sz w:val="24"/>
          <w:szCs w:val="24"/>
          <w:lang w:eastAsia="zh-CN"/>
        </w:rPr>
        <w:t>应</w:t>
      </w:r>
      <w:r>
        <w:rPr>
          <w:rFonts w:hint="eastAsia" w:ascii="宋体" w:hAnsi="宋体" w:eastAsia="宋体" w:cs="宋体"/>
          <w:sz w:val="24"/>
          <w:szCs w:val="24"/>
        </w:rPr>
        <w:t>在投标(响应)文件中按此模板提供承诺函，否则，视为</w:t>
      </w:r>
      <w:r>
        <w:rPr>
          <w:rFonts w:hint="eastAsia" w:ascii="宋体" w:hAnsi="宋体" w:eastAsia="宋体" w:cs="宋体"/>
          <w:sz w:val="24"/>
          <w:szCs w:val="24"/>
          <w:lang w:eastAsia="zh-CN"/>
        </w:rPr>
        <w:t>未按照招标文件规定提交投标人的资格及资信文件，按资格审查不通过处理。</w:t>
      </w:r>
    </w:p>
    <w:p w14:paraId="153F445E">
      <w:pPr>
        <w:rPr>
          <w:rFonts w:hint="eastAsia"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br w:type="page"/>
      </w:r>
    </w:p>
    <w:p w14:paraId="601F2B0A">
      <w:pPr>
        <w:spacing w:line="360" w:lineRule="auto"/>
        <w:jc w:val="left"/>
        <w:outlineLvl w:val="1"/>
        <w:rPr>
          <w:rFonts w:asciiTheme="minorEastAsia" w:hAnsiTheme="minorEastAsia" w:cstheme="minorEastAsia"/>
          <w:b/>
          <w:color w:val="auto"/>
          <w:sz w:val="24"/>
          <w:highlight w:val="none"/>
        </w:rPr>
      </w:pPr>
      <w:r>
        <w:rPr>
          <w:rFonts w:hint="eastAsia" w:asciiTheme="minorEastAsia" w:hAnsiTheme="minorEastAsia" w:cstheme="minorEastAsia"/>
          <w:b/>
          <w:color w:val="auto"/>
          <w:sz w:val="24"/>
          <w:highlight w:val="none"/>
        </w:rPr>
        <w:t>附件</w:t>
      </w:r>
      <w:r>
        <w:rPr>
          <w:rFonts w:hint="eastAsia" w:asciiTheme="minorEastAsia" w:hAnsiTheme="minorEastAsia" w:cstheme="minorEastAsia"/>
          <w:b/>
          <w:color w:val="auto"/>
          <w:sz w:val="24"/>
          <w:highlight w:val="none"/>
          <w:lang w:val="en-US" w:eastAsia="zh-CN"/>
        </w:rPr>
        <w:t>3</w:t>
      </w:r>
      <w:r>
        <w:rPr>
          <w:rFonts w:hint="eastAsia" w:asciiTheme="minorEastAsia" w:hAnsiTheme="minorEastAsia" w:cstheme="minorEastAsia"/>
          <w:b/>
          <w:color w:val="auto"/>
          <w:sz w:val="24"/>
          <w:highlight w:val="none"/>
        </w:rPr>
        <w:t>：</w:t>
      </w:r>
      <w:bookmarkEnd w:id="49"/>
    </w:p>
    <w:p w14:paraId="2B0F5F19">
      <w:pPr>
        <w:spacing w:line="360" w:lineRule="auto"/>
        <w:jc w:val="center"/>
        <w:outlineLvl w:val="1"/>
        <w:rPr>
          <w:rFonts w:asciiTheme="minorEastAsia" w:hAnsiTheme="minorEastAsia" w:cstheme="minorEastAsia"/>
          <w:color w:val="auto"/>
          <w:sz w:val="36"/>
          <w:szCs w:val="36"/>
          <w:highlight w:val="none"/>
        </w:rPr>
      </w:pPr>
      <w:bookmarkStart w:id="50" w:name="_Toc17807"/>
      <w:r>
        <w:rPr>
          <w:rFonts w:hint="eastAsia" w:asciiTheme="minorEastAsia" w:hAnsiTheme="minorEastAsia" w:cstheme="minorEastAsia"/>
          <w:b/>
          <w:color w:val="auto"/>
          <w:sz w:val="36"/>
          <w:szCs w:val="36"/>
          <w:highlight w:val="none"/>
        </w:rPr>
        <w:t>投标文件标准胶装范本</w:t>
      </w:r>
      <w:bookmarkEnd w:id="43"/>
      <w:bookmarkEnd w:id="44"/>
      <w:bookmarkEnd w:id="45"/>
      <w:bookmarkEnd w:id="46"/>
      <w:bookmarkEnd w:id="47"/>
      <w:bookmarkEnd w:id="48"/>
      <w:bookmarkEnd w:id="50"/>
    </w:p>
    <w:p w14:paraId="619E1D9D">
      <w:pPr>
        <w:spacing w:line="360" w:lineRule="auto"/>
        <w:jc w:val="center"/>
        <w:rPr>
          <w:rFonts w:asciiTheme="minorEastAsia" w:hAnsiTheme="minorEastAsia" w:cstheme="minorEastAsia"/>
          <w:color w:val="auto"/>
          <w:highlight w:val="none"/>
        </w:rPr>
      </w:pPr>
    </w:p>
    <w:p w14:paraId="2995264F">
      <w:pPr>
        <w:spacing w:line="360" w:lineRule="auto"/>
        <w:jc w:val="center"/>
        <w:rPr>
          <w:rFonts w:asciiTheme="minorEastAsia" w:hAnsiTheme="minorEastAsia" w:cstheme="minorEastAsia"/>
          <w:color w:val="auto"/>
          <w:sz w:val="24"/>
          <w:highlight w:val="none"/>
        </w:rPr>
      </w:pPr>
      <w:r>
        <w:rPr>
          <w:rFonts w:hint="eastAsia" w:asciiTheme="minorEastAsia" w:hAnsiTheme="minorEastAsia" w:cstheme="minorEastAsia"/>
          <w:color w:val="auto"/>
          <w:highlight w:val="none"/>
        </w:rPr>
        <w:drawing>
          <wp:inline distT="0" distB="0" distL="114300" distR="114300">
            <wp:extent cx="5264150" cy="5715635"/>
            <wp:effectExtent l="0" t="0" r="12700" b="18415"/>
            <wp:docPr id="1" name="图片 1" descr="标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标书"/>
                    <pic:cNvPicPr>
                      <a:picLocks noChangeAspect="1"/>
                    </pic:cNvPicPr>
                  </pic:nvPicPr>
                  <pic:blipFill>
                    <a:blip r:embed="rId7">
                      <a:lum bright="-12000"/>
                    </a:blip>
                    <a:stretch>
                      <a:fillRect/>
                    </a:stretch>
                  </pic:blipFill>
                  <pic:spPr>
                    <a:xfrm>
                      <a:off x="0" y="0"/>
                      <a:ext cx="5264150" cy="5715635"/>
                    </a:xfrm>
                    <a:prstGeom prst="rect">
                      <a:avLst/>
                    </a:prstGeom>
                    <a:noFill/>
                    <a:ln>
                      <a:noFill/>
                    </a:ln>
                  </pic:spPr>
                </pic:pic>
              </a:graphicData>
            </a:graphic>
          </wp:inline>
        </w:drawing>
      </w:r>
    </w:p>
    <w:p w14:paraId="31121275">
      <w:pPr>
        <w:spacing w:line="360" w:lineRule="auto"/>
        <w:jc w:val="center"/>
        <w:rPr>
          <w:rFonts w:asciiTheme="minorEastAsia" w:hAnsiTheme="minorEastAsia" w:cstheme="minorEastAsia"/>
          <w:color w:val="auto"/>
          <w:highlight w:val="none"/>
        </w:rPr>
      </w:pPr>
    </w:p>
    <w:p w14:paraId="7421C05B">
      <w:pPr>
        <w:pStyle w:val="24"/>
        <w:rPr>
          <w:rFonts w:hint="default" w:asciiTheme="minorEastAsia" w:hAnsiTheme="minorEastAsia" w:cstheme="minorEastAsia"/>
          <w:color w:val="auto"/>
          <w:highlight w:val="none"/>
        </w:rPr>
      </w:pPr>
    </w:p>
    <w:p w14:paraId="042EC710">
      <w:pPr>
        <w:rPr>
          <w:color w:val="auto"/>
        </w:rPr>
      </w:pPr>
    </w:p>
    <w:sectPr>
      <w:pgSz w:w="11907" w:h="16840"/>
      <w:pgMar w:top="1440" w:right="1080" w:bottom="1440" w:left="1080" w:header="624" w:footer="737" w:gutter="0"/>
      <w:pgBorders>
        <w:top w:val="none" w:sz="0" w:space="0"/>
        <w:left w:val="none" w:sz="0" w:space="0"/>
        <w:bottom w:val="none" w:sz="0" w:space="0"/>
        <w:right w:val="none" w:sz="0" w:space="0"/>
      </w:pgBorders>
      <w:cols w:space="720" w:num="1"/>
      <w:docGrid w:linePitch="323" w:charSpace="-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G Times">
    <w:panose1 w:val="02020603050405020304"/>
    <w:charset w:val="00"/>
    <w:family w:val="roma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390B56">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4211C2">
                          <w:pPr>
                            <w:pStyle w:val="11"/>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624211C2">
                    <w:pPr>
                      <w:pStyle w:val="11"/>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B87DB8">
    <w:pPr>
      <w:pStyle w:val="12"/>
      <w:rPr>
        <w:rFonts w:ascii="宋体" w:hAnsi="宋体" w:eastAsia="宋体" w:cs="宋体"/>
        <w:shd w:val="clear" w:color="FFFFFF" w:fill="D9D9D9"/>
      </w:rPr>
    </w:pPr>
    <w:r>
      <w:rPr>
        <w:rFonts w:hint="eastAsia" w:ascii="宋体" w:hAnsi="宋体" w:eastAsia="宋体" w:cs="宋体"/>
        <w:shd w:val="clear" w:color="FFFFFF" w:fill="D9D9D9"/>
        <w:lang w:eastAsia="zh-CN"/>
      </w:rPr>
      <w:t>福建省鸿远招标有限公司</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eastAsia="zh-CN"/>
      </w:rPr>
      <w:t>FJSHYZB-2024-160</w:t>
    </w:r>
    <w:r>
      <w:rPr>
        <w:rFonts w:hint="eastAsia" w:ascii="宋体" w:hAnsi="宋体" w:eastAsia="宋体" w:cs="宋体"/>
        <w:shd w:val="clear" w:color="FFFFFF" w:fill="D9D9D9"/>
      </w:rPr>
      <w:t xml:space="preserve">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BC489">
    <w:pPr>
      <w:pStyle w:val="12"/>
      <w:rPr>
        <w:rFonts w:ascii="宋体" w:hAnsi="宋体" w:eastAsia="宋体" w:cs="宋体"/>
        <w:shd w:val="clear" w:color="FFFFFF" w:fill="D9D9D9"/>
      </w:rPr>
    </w:pPr>
    <w:r>
      <w:rPr>
        <w:rFonts w:hint="eastAsia" w:ascii="宋体" w:hAnsi="宋体" w:eastAsia="宋体" w:cs="宋体"/>
        <w:shd w:val="clear" w:color="FFFFFF" w:fill="D9D9D9"/>
        <w:lang w:eastAsia="zh-CN"/>
      </w:rPr>
      <w:t>福建省鸿远招标有限公司</w:t>
    </w:r>
    <w:r>
      <w:rPr>
        <w:rFonts w:hint="eastAsia" w:ascii="宋体" w:hAnsi="宋体" w:eastAsia="宋体" w:cs="宋体"/>
        <w:shd w:val="clear" w:color="FFFFFF" w:fill="D9D9D9"/>
      </w:rPr>
      <w:t xml:space="preserve">                              </w:t>
    </w:r>
    <w:r>
      <w:rPr>
        <w:rFonts w:hint="eastAsia" w:ascii="宋体" w:hAnsi="宋体" w:eastAsia="宋体" w:cs="宋体"/>
        <w:shd w:val="clear" w:color="FFFFFF" w:fill="D9D9D9"/>
        <w:lang w:eastAsia="zh-CN"/>
      </w:rPr>
      <w:t>FJSHYZB-2024-160</w:t>
    </w:r>
    <w:r>
      <w:rPr>
        <w:rFonts w:hint="eastAsia" w:ascii="宋体" w:hAnsi="宋体" w:eastAsia="宋体" w:cs="宋体"/>
        <w:shd w:val="clear" w:color="FFFFFF" w:fill="D9D9D9"/>
      </w:rPr>
      <w:t xml:space="preserve">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CE19A4"/>
    <w:multiLevelType w:val="singleLevel"/>
    <w:tmpl w:val="A6CE19A4"/>
    <w:lvl w:ilvl="0" w:tentative="0">
      <w:start w:val="2"/>
      <w:numFmt w:val="decimal"/>
      <w:suff w:val="nothing"/>
      <w:lvlText w:val="（%1）"/>
      <w:lvlJc w:val="left"/>
    </w:lvl>
  </w:abstractNum>
  <w:abstractNum w:abstractNumId="1">
    <w:nsid w:val="5750650C"/>
    <w:multiLevelType w:val="multilevel"/>
    <w:tmpl w:val="5750650C"/>
    <w:lvl w:ilvl="0" w:tentative="0">
      <w:start w:val="1"/>
      <w:numFmt w:val="decimal"/>
      <w:suff w:val="space"/>
      <w:lvlText w:val="第%1章"/>
      <w:lvlJc w:val="center"/>
      <w:pPr>
        <w:ind w:left="425" w:hanging="425"/>
      </w:pPr>
      <w:rPr>
        <w:rFonts w:hint="default" w:ascii="Arial" w:hAnsi="Arial" w:eastAsia="宋体"/>
        <w:b/>
        <w:i w:val="0"/>
        <w:sz w:val="32"/>
      </w:rPr>
    </w:lvl>
    <w:lvl w:ilvl="1" w:tentative="0">
      <w:start w:val="1"/>
      <w:numFmt w:val="decimal"/>
      <w:suff w:val="space"/>
      <w:lvlText w:val="%1.%2"/>
      <w:lvlJc w:val="left"/>
      <w:pPr>
        <w:ind w:left="425" w:hanging="425"/>
      </w:pPr>
      <w:rPr>
        <w:rFonts w:hint="default" w:ascii="Arial" w:hAnsi="Arial" w:eastAsia="宋体"/>
        <w:b/>
        <w:i w:val="0"/>
        <w:sz w:val="30"/>
      </w:rPr>
    </w:lvl>
    <w:lvl w:ilvl="2" w:tentative="0">
      <w:start w:val="1"/>
      <w:numFmt w:val="decimal"/>
      <w:pStyle w:val="4"/>
      <w:suff w:val="space"/>
      <w:lvlText w:val="%1.%2.%3"/>
      <w:lvlJc w:val="left"/>
      <w:pPr>
        <w:ind w:left="424" w:hanging="283"/>
      </w:pPr>
      <w:rPr>
        <w:rFonts w:hint="default" w:ascii="Arial" w:hAnsi="Arial" w:eastAsia="宋体"/>
        <w:b/>
        <w:i w:val="0"/>
        <w:sz w:val="28"/>
      </w:rPr>
    </w:lvl>
    <w:lvl w:ilvl="3" w:tentative="0">
      <w:start w:val="1"/>
      <w:numFmt w:val="decimal"/>
      <w:suff w:val="space"/>
      <w:lvlText w:val="%1.%2.%3.%4"/>
      <w:lvlJc w:val="left"/>
      <w:pPr>
        <w:ind w:left="425" w:firstLine="0"/>
      </w:pPr>
      <w:rPr>
        <w:rFonts w:hint="default" w:ascii="Arial" w:hAnsi="Arial" w:eastAsia="宋体"/>
        <w:b/>
        <w:i w:val="0"/>
        <w:sz w:val="24"/>
      </w:rPr>
    </w:lvl>
    <w:lvl w:ilvl="4" w:tentative="0">
      <w:start w:val="1"/>
      <w:numFmt w:val="decimal"/>
      <w:suff w:val="space"/>
      <w:lvlText w:val="%1.%2.%3.%4.%5"/>
      <w:lvlJc w:val="left"/>
      <w:pPr>
        <w:ind w:left="425" w:firstLine="0"/>
      </w:pPr>
      <w:rPr>
        <w:rFonts w:hint="default" w:ascii="Arial" w:hAnsi="Arial" w:eastAsia="宋体"/>
        <w:b/>
        <w:i w:val="0"/>
        <w:sz w:val="24"/>
      </w:rPr>
    </w:lvl>
    <w:lvl w:ilvl="5" w:tentative="0">
      <w:start w:val="1"/>
      <w:numFmt w:val="decimal"/>
      <w:suff w:val="space"/>
      <w:lvlText w:val="%1.%2.%3.%4.%5.%6"/>
      <w:lvlJc w:val="left"/>
      <w:pPr>
        <w:ind w:left="425" w:firstLine="142"/>
      </w:pPr>
      <w:rPr>
        <w:rFonts w:hint="default" w:ascii="Arial" w:hAnsi="Arial" w:eastAsia="宋体"/>
        <w:b/>
        <w:i w:val="0"/>
        <w:sz w:val="24"/>
      </w:rPr>
    </w:lvl>
    <w:lvl w:ilvl="6" w:tentative="0">
      <w:start w:val="1"/>
      <w:numFmt w:val="decimal"/>
      <w:suff w:val="space"/>
      <w:lvlText w:val="（%7）"/>
      <w:lvlJc w:val="left"/>
      <w:pPr>
        <w:ind w:left="425" w:firstLine="142"/>
      </w:pPr>
      <w:rPr>
        <w:rFonts w:hint="default" w:ascii="Arial" w:hAnsi="Arial" w:eastAsia="宋体"/>
        <w:b/>
        <w:i w:val="0"/>
        <w:sz w:val="24"/>
      </w:rPr>
    </w:lvl>
    <w:lvl w:ilvl="7" w:tentative="0">
      <w:start w:val="1"/>
      <w:numFmt w:val="decimal"/>
      <w:lvlRestart w:val="2"/>
      <w:suff w:val="space"/>
      <w:lvlText w:val="图%1.%2-%8"/>
      <w:lvlJc w:val="center"/>
      <w:pPr>
        <w:ind w:left="425" w:hanging="425"/>
      </w:pPr>
      <w:rPr>
        <w:rFonts w:hint="default" w:ascii="Arial" w:hAnsi="Arial" w:eastAsia="宋体"/>
        <w:b w:val="0"/>
        <w:i w:val="0"/>
        <w:sz w:val="21"/>
      </w:rPr>
    </w:lvl>
    <w:lvl w:ilvl="8" w:tentative="0">
      <w:start w:val="1"/>
      <w:numFmt w:val="decimal"/>
      <w:lvlRestart w:val="2"/>
      <w:suff w:val="space"/>
      <w:lvlText w:val="表%1.%2-%9"/>
      <w:lvlJc w:val="center"/>
      <w:pPr>
        <w:ind w:left="425" w:hanging="425"/>
      </w:pPr>
      <w:rPr>
        <w:rFonts w:hint="default" w:ascii="Arial" w:hAnsi="Arial" w:eastAsia="宋体"/>
        <w:b w:val="0"/>
        <w:i w:val="0"/>
        <w:sz w:val="21"/>
        <w:lang w:val="en-US"/>
      </w:rPr>
    </w:lvl>
  </w:abstractNum>
  <w:abstractNum w:abstractNumId="2">
    <w:nsid w:val="64343368"/>
    <w:multiLevelType w:val="singleLevel"/>
    <w:tmpl w:val="64343368"/>
    <w:lvl w:ilvl="0" w:tentative="0">
      <w:start w:val="3"/>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mZmE0NTY0NjU5MzgxYmFmYzViNThmYjZmNzBiZjQifQ=="/>
  </w:docVars>
  <w:rsids>
    <w:rsidRoot w:val="480C3C9A"/>
    <w:rsid w:val="012B00BC"/>
    <w:rsid w:val="012F5F9F"/>
    <w:rsid w:val="02C83DF8"/>
    <w:rsid w:val="03062D2F"/>
    <w:rsid w:val="046F54D9"/>
    <w:rsid w:val="0478336C"/>
    <w:rsid w:val="04D80001"/>
    <w:rsid w:val="06924786"/>
    <w:rsid w:val="06C22A4B"/>
    <w:rsid w:val="077C400E"/>
    <w:rsid w:val="07B40FAC"/>
    <w:rsid w:val="0864077D"/>
    <w:rsid w:val="096D0B4C"/>
    <w:rsid w:val="0A200B7B"/>
    <w:rsid w:val="0B096C42"/>
    <w:rsid w:val="0B662F05"/>
    <w:rsid w:val="0B8509C7"/>
    <w:rsid w:val="0BDB744F"/>
    <w:rsid w:val="0C231921"/>
    <w:rsid w:val="0CCA3768"/>
    <w:rsid w:val="0CFE2CC9"/>
    <w:rsid w:val="0DB8731C"/>
    <w:rsid w:val="0DE85E53"/>
    <w:rsid w:val="0E3D2E36"/>
    <w:rsid w:val="0E586C11"/>
    <w:rsid w:val="0EA87391"/>
    <w:rsid w:val="0EF5087C"/>
    <w:rsid w:val="0F520D3F"/>
    <w:rsid w:val="1068327B"/>
    <w:rsid w:val="10CD7582"/>
    <w:rsid w:val="10E856F3"/>
    <w:rsid w:val="11671785"/>
    <w:rsid w:val="11FB06C6"/>
    <w:rsid w:val="12E60488"/>
    <w:rsid w:val="133D09EF"/>
    <w:rsid w:val="1347361C"/>
    <w:rsid w:val="136441CE"/>
    <w:rsid w:val="13E734F3"/>
    <w:rsid w:val="14E530ED"/>
    <w:rsid w:val="15B64A89"/>
    <w:rsid w:val="16044984"/>
    <w:rsid w:val="16A44041"/>
    <w:rsid w:val="16A82624"/>
    <w:rsid w:val="16E3540A"/>
    <w:rsid w:val="171F00A4"/>
    <w:rsid w:val="17F6116D"/>
    <w:rsid w:val="188A6953"/>
    <w:rsid w:val="18BA4890"/>
    <w:rsid w:val="1907546B"/>
    <w:rsid w:val="193361C3"/>
    <w:rsid w:val="196B7938"/>
    <w:rsid w:val="1AF04B85"/>
    <w:rsid w:val="1B633DA2"/>
    <w:rsid w:val="1BDB26D1"/>
    <w:rsid w:val="1BE023A8"/>
    <w:rsid w:val="1D4D2139"/>
    <w:rsid w:val="1E3C5635"/>
    <w:rsid w:val="1F0C74C8"/>
    <w:rsid w:val="1F141C21"/>
    <w:rsid w:val="2035029E"/>
    <w:rsid w:val="20466DAE"/>
    <w:rsid w:val="204F1D62"/>
    <w:rsid w:val="209F6845"/>
    <w:rsid w:val="20F01873"/>
    <w:rsid w:val="22031056"/>
    <w:rsid w:val="23FC3FAF"/>
    <w:rsid w:val="246062EC"/>
    <w:rsid w:val="24E55A46"/>
    <w:rsid w:val="24ED044A"/>
    <w:rsid w:val="253F2C8E"/>
    <w:rsid w:val="25F767DC"/>
    <w:rsid w:val="264E26CD"/>
    <w:rsid w:val="267267AA"/>
    <w:rsid w:val="26E20160"/>
    <w:rsid w:val="27CF060C"/>
    <w:rsid w:val="284E169D"/>
    <w:rsid w:val="28C220A6"/>
    <w:rsid w:val="28EC2844"/>
    <w:rsid w:val="2A3B1A30"/>
    <w:rsid w:val="2B8E7BE2"/>
    <w:rsid w:val="2BA84B99"/>
    <w:rsid w:val="2C286882"/>
    <w:rsid w:val="2CFA3055"/>
    <w:rsid w:val="2D0F19B6"/>
    <w:rsid w:val="2DFB52D7"/>
    <w:rsid w:val="2E3D144C"/>
    <w:rsid w:val="2E4A3045"/>
    <w:rsid w:val="2E5C566F"/>
    <w:rsid w:val="2E870919"/>
    <w:rsid w:val="303218EB"/>
    <w:rsid w:val="30662EDC"/>
    <w:rsid w:val="308D048C"/>
    <w:rsid w:val="30D53BBD"/>
    <w:rsid w:val="318B0720"/>
    <w:rsid w:val="31FA473C"/>
    <w:rsid w:val="321B5F48"/>
    <w:rsid w:val="324A05DB"/>
    <w:rsid w:val="33BE4073"/>
    <w:rsid w:val="34684D49"/>
    <w:rsid w:val="36653F00"/>
    <w:rsid w:val="36674EB4"/>
    <w:rsid w:val="374956AD"/>
    <w:rsid w:val="379E11AD"/>
    <w:rsid w:val="37A442EA"/>
    <w:rsid w:val="38C31254"/>
    <w:rsid w:val="39182FB0"/>
    <w:rsid w:val="399F2493"/>
    <w:rsid w:val="3B130B7F"/>
    <w:rsid w:val="3BA02856"/>
    <w:rsid w:val="3BD31641"/>
    <w:rsid w:val="3BD61692"/>
    <w:rsid w:val="3C362FA3"/>
    <w:rsid w:val="3C82468D"/>
    <w:rsid w:val="3E7C3321"/>
    <w:rsid w:val="40EC35D9"/>
    <w:rsid w:val="418A09F4"/>
    <w:rsid w:val="41A41AB6"/>
    <w:rsid w:val="41BB6E00"/>
    <w:rsid w:val="42CB4B52"/>
    <w:rsid w:val="4336182D"/>
    <w:rsid w:val="44BA15F0"/>
    <w:rsid w:val="45943929"/>
    <w:rsid w:val="45A02594"/>
    <w:rsid w:val="4615145A"/>
    <w:rsid w:val="466435C2"/>
    <w:rsid w:val="46677B64"/>
    <w:rsid w:val="46D314AC"/>
    <w:rsid w:val="474358CD"/>
    <w:rsid w:val="47C54534"/>
    <w:rsid w:val="480C3C9A"/>
    <w:rsid w:val="489932CB"/>
    <w:rsid w:val="498C20CA"/>
    <w:rsid w:val="4A3741C6"/>
    <w:rsid w:val="4A565C50"/>
    <w:rsid w:val="4B075A5A"/>
    <w:rsid w:val="4C07336D"/>
    <w:rsid w:val="4CF33B49"/>
    <w:rsid w:val="4DF12493"/>
    <w:rsid w:val="4E6C76ED"/>
    <w:rsid w:val="4E8C71C7"/>
    <w:rsid w:val="4F350C23"/>
    <w:rsid w:val="4F7A3E56"/>
    <w:rsid w:val="50760AC1"/>
    <w:rsid w:val="50924ECA"/>
    <w:rsid w:val="50F47C38"/>
    <w:rsid w:val="51932FAD"/>
    <w:rsid w:val="52E141EC"/>
    <w:rsid w:val="545253A1"/>
    <w:rsid w:val="55232497"/>
    <w:rsid w:val="553E5926"/>
    <w:rsid w:val="55AB380C"/>
    <w:rsid w:val="55C23C6A"/>
    <w:rsid w:val="55D32426"/>
    <w:rsid w:val="55F304F6"/>
    <w:rsid w:val="55FB480B"/>
    <w:rsid w:val="58D945C6"/>
    <w:rsid w:val="5A7476F4"/>
    <w:rsid w:val="5AED7BD2"/>
    <w:rsid w:val="5B9E680A"/>
    <w:rsid w:val="5C1E3DBB"/>
    <w:rsid w:val="5C2E04A2"/>
    <w:rsid w:val="5C4F0418"/>
    <w:rsid w:val="5D0E1DA5"/>
    <w:rsid w:val="5D377A2B"/>
    <w:rsid w:val="5D8745FD"/>
    <w:rsid w:val="5E6F6EE3"/>
    <w:rsid w:val="5E9F3885"/>
    <w:rsid w:val="5EBA426F"/>
    <w:rsid w:val="6094289E"/>
    <w:rsid w:val="615873C6"/>
    <w:rsid w:val="63F26259"/>
    <w:rsid w:val="641333D8"/>
    <w:rsid w:val="644D7933"/>
    <w:rsid w:val="64B74DAD"/>
    <w:rsid w:val="650A24B3"/>
    <w:rsid w:val="655232BF"/>
    <w:rsid w:val="658A44C1"/>
    <w:rsid w:val="65B71508"/>
    <w:rsid w:val="65C06906"/>
    <w:rsid w:val="65D8322D"/>
    <w:rsid w:val="686139AD"/>
    <w:rsid w:val="686A2EB1"/>
    <w:rsid w:val="68B57855"/>
    <w:rsid w:val="69056979"/>
    <w:rsid w:val="699C2075"/>
    <w:rsid w:val="6B2A277C"/>
    <w:rsid w:val="6C7B2392"/>
    <w:rsid w:val="6CF92406"/>
    <w:rsid w:val="6D4665ED"/>
    <w:rsid w:val="6EC30F1E"/>
    <w:rsid w:val="6EE8281D"/>
    <w:rsid w:val="6F767D3E"/>
    <w:rsid w:val="71070BE2"/>
    <w:rsid w:val="71573B9F"/>
    <w:rsid w:val="71841B16"/>
    <w:rsid w:val="71EC195D"/>
    <w:rsid w:val="727E14FC"/>
    <w:rsid w:val="72AF45B3"/>
    <w:rsid w:val="73D17C39"/>
    <w:rsid w:val="7439451D"/>
    <w:rsid w:val="74714F78"/>
    <w:rsid w:val="75B55338"/>
    <w:rsid w:val="75B61C1E"/>
    <w:rsid w:val="75E61DDB"/>
    <w:rsid w:val="764E4790"/>
    <w:rsid w:val="768C10B0"/>
    <w:rsid w:val="76A4080F"/>
    <w:rsid w:val="76BD4E0E"/>
    <w:rsid w:val="772E53A2"/>
    <w:rsid w:val="773000B7"/>
    <w:rsid w:val="77F956AA"/>
    <w:rsid w:val="78280044"/>
    <w:rsid w:val="783D7D9C"/>
    <w:rsid w:val="78A31478"/>
    <w:rsid w:val="78A820D3"/>
    <w:rsid w:val="78C53AE4"/>
    <w:rsid w:val="79E80539"/>
    <w:rsid w:val="7A43028F"/>
    <w:rsid w:val="7A61783D"/>
    <w:rsid w:val="7BC65BA9"/>
    <w:rsid w:val="7F5259A6"/>
    <w:rsid w:val="7FC317DF"/>
    <w:rsid w:val="7FD03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ind w:left="840"/>
      <w:jc w:val="center"/>
      <w:outlineLvl w:val="0"/>
    </w:pPr>
    <w:rPr>
      <w:b/>
      <w:kern w:val="0"/>
      <w:sz w:val="28"/>
      <w:szCs w:val="20"/>
    </w:rPr>
  </w:style>
  <w:style w:type="paragraph" w:styleId="3">
    <w:name w:val="heading 2"/>
    <w:basedOn w:val="1"/>
    <w:next w:val="1"/>
    <w:qFormat/>
    <w:uiPriority w:val="0"/>
    <w:pPr>
      <w:keepNext/>
      <w:keepLines/>
      <w:spacing w:before="260" w:after="260" w:line="415" w:lineRule="auto"/>
      <w:ind w:left="5880"/>
      <w:jc w:val="center"/>
      <w:outlineLvl w:val="1"/>
    </w:pPr>
    <w:rPr>
      <w:rFonts w:ascii="CG Times" w:hAnsi="CG Times"/>
      <w:b/>
      <w:kern w:val="0"/>
      <w:sz w:val="30"/>
      <w:szCs w:val="20"/>
    </w:rPr>
  </w:style>
  <w:style w:type="paragraph" w:styleId="4">
    <w:name w:val="heading 3"/>
    <w:basedOn w:val="1"/>
    <w:next w:val="1"/>
    <w:qFormat/>
    <w:uiPriority w:val="0"/>
    <w:pPr>
      <w:numPr>
        <w:ilvl w:val="2"/>
        <w:numId w:val="1"/>
      </w:numPr>
      <w:spacing w:before="120" w:after="120" w:line="480" w:lineRule="auto"/>
      <w:ind w:left="425"/>
      <w:outlineLvl w:val="2"/>
    </w:pPr>
    <w:rPr>
      <w:rFonts w:ascii="Arial" w:hAnsi="Arial" w:eastAsia="宋体" w:cs="宋体"/>
      <w:b/>
      <w:bCs/>
      <w:sz w:val="28"/>
      <w:szCs w:val="27"/>
      <w:lang w:val="en-US" w:eastAsia="zh-CN" w:bidi="ar-SA"/>
    </w:rPr>
  </w:style>
  <w:style w:type="paragraph" w:styleId="5">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9"/>
    <w:basedOn w:val="1"/>
    <w:next w:val="1"/>
    <w:qFormat/>
    <w:uiPriority w:val="0"/>
    <w:pPr>
      <w:keepNext/>
      <w:keepLines/>
      <w:spacing w:before="240" w:after="64" w:line="320" w:lineRule="auto"/>
      <w:ind w:left="840"/>
      <w:outlineLvl w:val="8"/>
    </w:pPr>
    <w:rPr>
      <w:rFonts w:ascii="Arial" w:hAnsi="Arial" w:eastAsia="黑体"/>
      <w:szCs w:val="20"/>
    </w:rPr>
  </w:style>
  <w:style w:type="character" w:default="1" w:styleId="19">
    <w:name w:val="Default Paragraph Font"/>
    <w:semiHidden/>
    <w:qFormat/>
    <w:uiPriority w:val="0"/>
  </w:style>
  <w:style w:type="table" w:default="1" w:styleId="17">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7">
    <w:name w:val="annotation text"/>
    <w:basedOn w:val="1"/>
    <w:semiHidden/>
    <w:unhideWhenUsed/>
    <w:qFormat/>
    <w:uiPriority w:val="99"/>
    <w:pPr>
      <w:jc w:val="left"/>
    </w:pPr>
  </w:style>
  <w:style w:type="paragraph" w:styleId="8">
    <w:name w:val="Body Text"/>
    <w:basedOn w:val="1"/>
    <w:qFormat/>
    <w:uiPriority w:val="0"/>
    <w:pPr>
      <w:spacing w:line="380" w:lineRule="atLeast"/>
    </w:pPr>
    <w:rPr>
      <w:rFonts w:ascii="Times New Roman" w:hAnsi="Times New Roman" w:eastAsia="宋体" w:cs="Times New Roman"/>
      <w:sz w:val="24"/>
    </w:rPr>
  </w:style>
  <w:style w:type="paragraph" w:styleId="9">
    <w:name w:val="Body Text Indent"/>
    <w:basedOn w:val="1"/>
    <w:qFormat/>
    <w:uiPriority w:val="0"/>
    <w:pPr>
      <w:ind w:firstLine="627"/>
    </w:pPr>
    <w:rPr>
      <w:sz w:val="28"/>
      <w:szCs w:val="20"/>
    </w:rPr>
  </w:style>
  <w:style w:type="paragraph" w:styleId="10">
    <w:name w:val="Plain Text"/>
    <w:basedOn w:val="1"/>
    <w:qFormat/>
    <w:uiPriority w:val="0"/>
    <w:rPr>
      <w:rFonts w:ascii="宋体" w:hAnsi="Courier New"/>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next w:val="1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3">
    <w:name w:val="Quote"/>
    <w:basedOn w:val="1"/>
    <w:next w:val="1"/>
    <w:qFormat/>
    <w:uiPriority w:val="99"/>
    <w:pPr>
      <w:widowControl/>
      <w:wordWrap w:val="0"/>
      <w:spacing w:before="200" w:after="160"/>
      <w:ind w:left="864" w:right="864"/>
      <w:jc w:val="center"/>
    </w:pPr>
    <w:rPr>
      <w:rFonts w:ascii="宋体"/>
      <w:i/>
      <w:color w:val="404040"/>
    </w:rPr>
  </w:style>
  <w:style w:type="paragraph" w:styleId="14">
    <w:name w:val="toc 9"/>
    <w:basedOn w:val="1"/>
    <w:next w:val="1"/>
    <w:qFormat/>
    <w:uiPriority w:val="0"/>
    <w:pPr>
      <w:ind w:left="3360" w:leftChars="1600"/>
    </w:pPr>
    <w:rPr>
      <w:rFonts w:ascii="Times New Roman" w:hAnsi="Times New Roman" w:eastAsia="宋体" w:cs="Times New Roman"/>
    </w:rPr>
  </w:style>
  <w:style w:type="paragraph" w:styleId="15">
    <w:name w:val="Normal (Web)"/>
    <w:basedOn w:val="1"/>
    <w:qFormat/>
    <w:uiPriority w:val="0"/>
    <w:pPr>
      <w:spacing w:beforeAutospacing="1" w:afterAutospacing="1"/>
      <w:jc w:val="left"/>
    </w:pPr>
    <w:rPr>
      <w:rFonts w:cs="Times New Roman"/>
      <w:kern w:val="0"/>
      <w:sz w:val="24"/>
    </w:rPr>
  </w:style>
  <w:style w:type="paragraph" w:styleId="16">
    <w:name w:val="Body Text First Indent 2"/>
    <w:basedOn w:val="9"/>
    <w:unhideWhenUsed/>
    <w:qFormat/>
    <w:uiPriority w:val="99"/>
    <w:pPr>
      <w:adjustRightInd w:val="0"/>
      <w:snapToGrid w:val="0"/>
      <w:ind w:firstLine="420" w:firstLineChars="200"/>
    </w:pPr>
    <w:rPr>
      <w:color w:val="000000"/>
      <w:szCs w:val="28"/>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Hyperlink"/>
    <w:basedOn w:val="19"/>
    <w:qFormat/>
    <w:uiPriority w:val="0"/>
    <w:rPr>
      <w:color w:val="0000FF"/>
      <w:u w:val="single"/>
    </w:rPr>
  </w:style>
  <w:style w:type="character" w:styleId="22">
    <w:name w:val="annotation reference"/>
    <w:basedOn w:val="19"/>
    <w:qFormat/>
    <w:uiPriority w:val="0"/>
    <w:rPr>
      <w:sz w:val="21"/>
      <w:szCs w:val="21"/>
    </w:rPr>
  </w:style>
  <w:style w:type="paragraph" w:customStyle="1" w:styleId="23">
    <w:name w:val="样式 标题 3 + (中文) 黑体 小四 非加粗 段前: 7.8 磅 段后: 0 磅 行距: 固定值 20 磅"/>
    <w:basedOn w:val="4"/>
    <w:qFormat/>
    <w:uiPriority w:val="0"/>
    <w:pPr>
      <w:tabs>
        <w:tab w:val="left" w:pos="425"/>
      </w:tabs>
      <w:spacing w:line="400" w:lineRule="exact"/>
    </w:pPr>
    <w:rPr>
      <w:rFonts w:eastAsia="黑体" w:cs="宋体"/>
      <w:sz w:val="24"/>
      <w:szCs w:val="20"/>
    </w:rPr>
  </w:style>
  <w:style w:type="paragraph" w:customStyle="1" w:styleId="24">
    <w:name w:val="null3"/>
    <w:hidden/>
    <w:qFormat/>
    <w:uiPriority w:val="0"/>
    <w:rPr>
      <w:rFonts w:hint="eastAsia" w:asciiTheme="minorHAnsi" w:hAnsiTheme="minorHAnsi" w:eastAsiaTheme="minorEastAsia" w:cstheme="minorBidi"/>
      <w:lang w:val="en-US" w:eastAsia="zh-Hans" w:bidi="ar-SA"/>
    </w:rPr>
  </w:style>
  <w:style w:type="character" w:customStyle="1" w:styleId="25">
    <w:name w:val="font41"/>
    <w:basedOn w:val="19"/>
    <w:qFormat/>
    <w:uiPriority w:val="0"/>
    <w:rPr>
      <w:rFonts w:hint="eastAsia" w:ascii="宋体" w:hAnsi="宋体" w:eastAsia="宋体" w:cs="宋体"/>
      <w:b/>
      <w:bCs/>
      <w:color w:val="000000"/>
      <w:sz w:val="20"/>
      <w:szCs w:val="20"/>
      <w:u w:val="none"/>
    </w:rPr>
  </w:style>
  <w:style w:type="character" w:customStyle="1" w:styleId="26">
    <w:name w:val="font31"/>
    <w:basedOn w:val="19"/>
    <w:qFormat/>
    <w:uiPriority w:val="0"/>
    <w:rPr>
      <w:rFonts w:hint="eastAsia" w:ascii="宋体" w:hAnsi="宋体" w:eastAsia="宋体" w:cs="宋体"/>
      <w:b/>
      <w:bCs/>
      <w:color w:val="000000"/>
      <w:sz w:val="20"/>
      <w:szCs w:val="20"/>
      <w:u w:val="none"/>
    </w:rPr>
  </w:style>
  <w:style w:type="paragraph" w:customStyle="1" w:styleId="27">
    <w:name w:val="Default"/>
    <w:next w:val="14"/>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8">
    <w:name w:val="市数办正文"/>
    <w:basedOn w:val="1"/>
    <w:qFormat/>
    <w:uiPriority w:val="0"/>
    <w:pPr>
      <w:widowControl w:val="0"/>
      <w:adjustRightInd/>
      <w:snapToGrid/>
      <w:spacing w:after="0" w:line="360" w:lineRule="auto"/>
      <w:ind w:firstLine="560" w:firstLineChars="200"/>
      <w:jc w:val="both"/>
    </w:pPr>
    <w:rPr>
      <w:rFonts w:ascii="宋体" w:hAnsi="宋体" w:eastAsia="宋体" w:cs="Arial"/>
      <w:kern w:val="2"/>
      <w:sz w:val="24"/>
      <w:szCs w:val="28"/>
    </w:rPr>
  </w:style>
  <w:style w:type="paragraph" w:customStyle="1" w:styleId="29">
    <w:name w:val="FC正文"/>
    <w:basedOn w:val="1"/>
    <w:qFormat/>
    <w:uiPriority w:val="0"/>
    <w:pPr>
      <w:snapToGrid w:val="0"/>
      <w:spacing w:beforeLines="50" w:afterLines="50" w:line="360" w:lineRule="auto"/>
      <w:ind w:firstLine="200" w:firstLineChars="200"/>
      <w:contextualSpacing/>
    </w:pPr>
    <w:rPr>
      <w:rFonts w:ascii="宋体" w:hAnsi="宋体"/>
      <w:szCs w:val="21"/>
    </w:rPr>
  </w:style>
  <w:style w:type="character" w:customStyle="1" w:styleId="30">
    <w:name w:val="cf01"/>
    <w:basedOn w:val="19"/>
    <w:qFormat/>
    <w:uiPriority w:val="0"/>
    <w:rPr>
      <w:rFonts w:hint="eastAsia" w:ascii="Microsoft YaHei UI" w:hAnsi="Microsoft YaHei UI" w:eastAsia="Microsoft YaHei UI"/>
      <w:sz w:val="18"/>
      <w:szCs w:val="18"/>
    </w:rPr>
  </w:style>
  <w:style w:type="paragraph" w:styleId="31">
    <w:name w:val="List Paragraph"/>
    <w:basedOn w:val="1"/>
    <w:qFormat/>
    <w:uiPriority w:val="1"/>
    <w:pPr>
      <w:ind w:left="220" w:firstLine="480"/>
    </w:pPr>
    <w:rPr>
      <w:rFonts w:ascii="宋体" w:hAnsi="宋体" w:eastAsia="宋体" w:cs="宋体"/>
    </w:rPr>
  </w:style>
  <w:style w:type="paragraph" w:customStyle="1" w:styleId="32">
    <w:name w:val="Table Paragraph"/>
    <w:basedOn w:val="1"/>
    <w:qFormat/>
    <w:uiPriority w:val="1"/>
    <w:rPr>
      <w:rFonts w:ascii="宋体" w:hAnsi="宋体" w:eastAsia="宋体" w:cs="宋体"/>
    </w:rPr>
  </w:style>
  <w:style w:type="character" w:customStyle="1" w:styleId="33">
    <w:name w:val="font11"/>
    <w:basedOn w:val="19"/>
    <w:qFormat/>
    <w:uiPriority w:val="0"/>
    <w:rPr>
      <w:rFonts w:hint="eastAsia" w:ascii="等线" w:hAnsi="等线" w:eastAsia="等线" w:cs="等线"/>
      <w:color w:val="000000"/>
      <w:sz w:val="21"/>
      <w:szCs w:val="21"/>
      <w:u w:val="none"/>
    </w:rPr>
  </w:style>
  <w:style w:type="paragraph" w:customStyle="1" w:styleId="34">
    <w:name w:val="样式 FC正文 + 宋体"/>
    <w:basedOn w:val="29"/>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157</Pages>
  <Words>75698</Words>
  <Characters>81660</Characters>
  <Lines>0</Lines>
  <Paragraphs>0</Paragraphs>
  <TotalTime>54</TotalTime>
  <ScaleCrop>false</ScaleCrop>
  <LinksUpToDate>false</LinksUpToDate>
  <CharactersWithSpaces>82995</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2024-05-30T04:54:00Z</dcterms:created>
  <dc:creator>NTKO</dc:creator>
  <cp:lastModifiedBy>PJ</cp:lastModifiedBy>
  <cp:lastPrinted>2024-10-21T09:05:00Z</cp:lastPrinted>
  <dcterms:modified xsi:type="dcterms:W3CDTF">2024-10-22T07:23:46Z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8DE41B398042433F86C447B0BAB7FBB1_13</vt:lpwstr>
  </property>
</Properties>
</file>